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8D52" w14:textId="77777777" w:rsidR="007807C4" w:rsidRPr="00AB38A8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  <w:bookmarkStart w:id="0" w:name="_GoBack"/>
      <w:bookmarkEnd w:id="0"/>
      <w:r w:rsidRPr="00AB38A8">
        <w:rPr>
          <w:rFonts w:ascii="Times New Roman" w:hAnsi="Times New Roman" w:cs="Times New Roman"/>
          <w:b/>
          <w:sz w:val="28"/>
          <w:szCs w:val="24"/>
          <w:lang w:val="en-GB"/>
        </w:rPr>
        <w:t>History of Institutions: Civic, Economic and Political</w:t>
      </w:r>
    </w:p>
    <w:p w14:paraId="64AA60F9" w14:textId="504BE69D" w:rsidR="007807C4" w:rsidRPr="00AB38A8" w:rsidRDefault="00F807DC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AB38A8">
        <w:rPr>
          <w:rFonts w:ascii="Times New Roman" w:hAnsi="Times New Roman" w:cs="Times New Roman"/>
          <w:b/>
          <w:sz w:val="28"/>
          <w:szCs w:val="24"/>
          <w:lang w:val="en-GB"/>
        </w:rPr>
        <w:t xml:space="preserve">Academic year </w:t>
      </w:r>
      <w:r w:rsidR="00EB0028">
        <w:rPr>
          <w:rFonts w:ascii="Times New Roman" w:hAnsi="Times New Roman" w:cs="Times New Roman"/>
          <w:b/>
          <w:sz w:val="28"/>
          <w:szCs w:val="24"/>
          <w:lang w:val="en-GB"/>
        </w:rPr>
        <w:t>2020-21</w:t>
      </w:r>
    </w:p>
    <w:p w14:paraId="775716A8" w14:textId="77777777" w:rsidR="00F807DC" w:rsidRPr="00222808" w:rsidRDefault="00F807DC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0D21F1" w14:textId="77777777" w:rsidR="00F807DC" w:rsidRPr="00222808" w:rsidRDefault="00F807DC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DBFE95" w14:textId="77777777" w:rsidR="007807C4" w:rsidRPr="00222808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>Instructor: Guido Alfani</w:t>
      </w:r>
    </w:p>
    <w:p w14:paraId="57C26069" w14:textId="77777777" w:rsidR="007807C4" w:rsidRPr="00106904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904">
        <w:rPr>
          <w:rFonts w:ascii="Times New Roman" w:hAnsi="Times New Roman" w:cs="Times New Roman"/>
          <w:sz w:val="24"/>
          <w:szCs w:val="24"/>
          <w:lang w:val="en-US"/>
        </w:rPr>
        <w:t>E-mail: guido.alfani@unibocconi.it</w:t>
      </w:r>
    </w:p>
    <w:p w14:paraId="56F98485" w14:textId="0EBD3703" w:rsidR="007807C4" w:rsidRPr="00222808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Office: Grafton Building, Via Roentgen 1, room </w:t>
      </w:r>
      <w:r w:rsidR="00EB0028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16B29">
        <w:rPr>
          <w:rFonts w:ascii="Times New Roman" w:hAnsi="Times New Roman" w:cs="Times New Roman"/>
          <w:sz w:val="24"/>
          <w:szCs w:val="24"/>
          <w:lang w:val="en-GB"/>
        </w:rPr>
        <w:t>D2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EB0028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3D5DBD21" w14:textId="77777777" w:rsidR="007807C4" w:rsidRPr="00222808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2D7A85" w14:textId="77777777" w:rsidR="007807C4" w:rsidRPr="00222808" w:rsidRDefault="007807C4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C230DB" w14:textId="77777777" w:rsidR="00284D2C" w:rsidRPr="00222808" w:rsidRDefault="00284D2C" w:rsidP="00CA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>The objective of the course is to provide a long-run analysis of institutional change, from a wide range of pers</w:t>
      </w:r>
      <w:r w:rsidR="007301D4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pectives. Institutions </w:t>
      </w:r>
      <w:r w:rsidR="00155A54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are often considered among the potential explanatory factors of fundamental historical processes, or of differences among contemporary societies. This course is aimed to provide the students with a deeper understanding of how institutions (might) explain current dynamics, as well as of the nature of long-term institutional change </w:t>
      </w:r>
      <w:r w:rsidR="00155A54" w:rsidRPr="00222808">
        <w:rPr>
          <w:rFonts w:ascii="Times New Roman" w:hAnsi="Times New Roman" w:cs="Times New Roman"/>
          <w:i/>
          <w:sz w:val="24"/>
          <w:szCs w:val="24"/>
          <w:lang w:val="en-GB"/>
        </w:rPr>
        <w:t>per se</w:t>
      </w:r>
      <w:r w:rsidR="00155A54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344E" w:rsidRPr="00222808">
        <w:rPr>
          <w:rFonts w:ascii="Times New Roman" w:hAnsi="Times New Roman" w:cs="Times New Roman"/>
          <w:sz w:val="24"/>
          <w:szCs w:val="24"/>
          <w:lang w:val="en-GB"/>
        </w:rPr>
        <w:t>This general objective will be pursued with reference to a specific set of institutions, spanning the civic, economic and political spheres.</w:t>
      </w:r>
    </w:p>
    <w:p w14:paraId="63D93B04" w14:textId="77777777" w:rsidR="007D40A2" w:rsidRPr="00222808" w:rsidRDefault="007D40A2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B9F33A" w14:textId="77777777" w:rsidR="00F807DC" w:rsidRPr="00222808" w:rsidRDefault="00F807DC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B4CBB1" w14:textId="77777777" w:rsidR="008545C6" w:rsidRPr="00222808" w:rsidRDefault="004D7EB2" w:rsidP="008545C6">
      <w:pPr>
        <w:pStyle w:val="NormaleWeb"/>
        <w:spacing w:before="0" w:beforeAutospacing="0" w:after="0" w:afterAutospacing="0"/>
        <w:rPr>
          <w:color w:val="auto"/>
          <w:lang w:val="en-GB"/>
        </w:rPr>
      </w:pPr>
      <w:r w:rsidRPr="00222808">
        <w:rPr>
          <w:lang w:val="en-GB"/>
        </w:rPr>
        <w:t>Course grades will be based on</w:t>
      </w:r>
      <w:r w:rsidR="008545C6" w:rsidRPr="00222808">
        <w:rPr>
          <w:color w:val="auto"/>
          <w:lang w:val="en-GB"/>
        </w:rPr>
        <w:t>:</w:t>
      </w:r>
    </w:p>
    <w:p w14:paraId="21F7140D" w14:textId="77777777" w:rsidR="008545C6" w:rsidRPr="00222808" w:rsidRDefault="008545C6" w:rsidP="008545C6">
      <w:pPr>
        <w:pStyle w:val="NormaleWeb"/>
        <w:spacing w:before="0" w:beforeAutospacing="0" w:after="0" w:afterAutospacing="0"/>
        <w:rPr>
          <w:color w:val="auto"/>
          <w:lang w:val="en-GB"/>
        </w:rPr>
      </w:pPr>
    </w:p>
    <w:p w14:paraId="1EC90CE4" w14:textId="77777777" w:rsidR="00A044AF" w:rsidRDefault="00A044AF" w:rsidP="00A044A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auto"/>
          <w:lang w:val="en-GB"/>
        </w:rPr>
      </w:pPr>
      <w:r w:rsidRPr="00222808">
        <w:rPr>
          <w:color w:val="auto"/>
          <w:lang w:val="en-GB"/>
        </w:rPr>
        <w:t xml:space="preserve">a </w:t>
      </w:r>
      <w:r w:rsidRPr="00222808">
        <w:rPr>
          <w:b/>
          <w:color w:val="auto"/>
          <w:lang w:val="en-GB"/>
        </w:rPr>
        <w:t>final written exam</w:t>
      </w:r>
      <w:r w:rsidRPr="00222808">
        <w:rPr>
          <w:color w:val="auto"/>
          <w:lang w:val="en-GB"/>
        </w:rPr>
        <w:t>, based on the lectures and the compulsory readings of the course</w:t>
      </w:r>
      <w:r>
        <w:rPr>
          <w:color w:val="auto"/>
          <w:lang w:val="en-GB"/>
        </w:rPr>
        <w:t xml:space="preserve">  – end of May, exact date to be defined </w:t>
      </w:r>
    </w:p>
    <w:p w14:paraId="22005C53" w14:textId="77777777" w:rsidR="00A044AF" w:rsidRPr="00222808" w:rsidRDefault="00A044AF" w:rsidP="00A044AF">
      <w:pPr>
        <w:pStyle w:val="NormaleWeb"/>
        <w:spacing w:before="0" w:beforeAutospacing="0" w:after="0" w:afterAutospacing="0"/>
        <w:ind w:left="720"/>
        <w:rPr>
          <w:color w:val="auto"/>
          <w:lang w:val="en-GB"/>
        </w:rPr>
      </w:pPr>
    </w:p>
    <w:p w14:paraId="02E2994C" w14:textId="6A123A48" w:rsidR="00A044AF" w:rsidRPr="00AD1B80" w:rsidRDefault="00A044AF" w:rsidP="00A044A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auto"/>
          <w:lang w:val="en-GB"/>
        </w:rPr>
      </w:pPr>
      <w:r w:rsidRPr="00222808">
        <w:rPr>
          <w:color w:val="auto"/>
          <w:lang w:val="en-GB"/>
        </w:rPr>
        <w:t xml:space="preserve">a </w:t>
      </w:r>
      <w:r w:rsidRPr="00222808">
        <w:rPr>
          <w:b/>
          <w:color w:val="auto"/>
          <w:lang w:val="en-GB"/>
        </w:rPr>
        <w:t>take-home essay</w:t>
      </w:r>
      <w:r w:rsidRPr="00222808">
        <w:rPr>
          <w:lang w:val="en-GB"/>
        </w:rPr>
        <w:t xml:space="preserve"> (2,000 - 2,500 words) on one of the topics of the course (that the student will choose in advance), where references to readings outside the compulsory list will be encouraged</w:t>
      </w:r>
      <w:r>
        <w:rPr>
          <w:lang w:val="en-GB"/>
        </w:rPr>
        <w:t xml:space="preserve">. This will be part of the </w:t>
      </w:r>
      <w:r w:rsidRPr="00AD1B80">
        <w:rPr>
          <w:u w:val="single"/>
          <w:lang w:val="en-GB"/>
        </w:rPr>
        <w:t>final general exam</w:t>
      </w:r>
      <w:r>
        <w:rPr>
          <w:lang w:val="en-GB"/>
        </w:rPr>
        <w:t xml:space="preserve"> for PhD students in June.</w:t>
      </w:r>
    </w:p>
    <w:p w14:paraId="4A1FB47A" w14:textId="77777777" w:rsidR="00A044AF" w:rsidRDefault="00A044AF" w:rsidP="00A044AF">
      <w:pPr>
        <w:pStyle w:val="Paragrafoelenco"/>
        <w:spacing w:line="240" w:lineRule="auto"/>
        <w:rPr>
          <w:lang w:val="en-GB"/>
        </w:rPr>
      </w:pPr>
    </w:p>
    <w:p w14:paraId="3D5B8B2F" w14:textId="77777777" w:rsidR="00A044AF" w:rsidRPr="00222808" w:rsidRDefault="00A044AF" w:rsidP="00A044A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auto"/>
          <w:lang w:val="en-GB"/>
        </w:rPr>
      </w:pPr>
      <w:r>
        <w:rPr>
          <w:color w:val="auto"/>
          <w:lang w:val="en-GB"/>
        </w:rPr>
        <w:t>MSc students admitted to class will have to sit only the written exam in May</w:t>
      </w:r>
    </w:p>
    <w:p w14:paraId="7BF752E7" w14:textId="77777777" w:rsidR="002C549E" w:rsidRPr="00222808" w:rsidRDefault="002C549E" w:rsidP="00AD1B80">
      <w:pPr>
        <w:pStyle w:val="NormaleWeb"/>
        <w:spacing w:before="0" w:beforeAutospacing="0" w:after="0" w:afterAutospacing="0"/>
        <w:ind w:left="720"/>
        <w:rPr>
          <w:color w:val="auto"/>
          <w:lang w:val="en-GB"/>
        </w:rPr>
      </w:pPr>
    </w:p>
    <w:p w14:paraId="5A345709" w14:textId="77777777" w:rsidR="00636BC6" w:rsidRPr="00222808" w:rsidRDefault="00636BC6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FBDC7F" w14:textId="77777777" w:rsidR="00DC6871" w:rsidRPr="00222808" w:rsidRDefault="00DC6871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46C103" w14:textId="77777777" w:rsidR="00DC6871" w:rsidRPr="00222808" w:rsidRDefault="00DC6871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6777DD" w14:textId="77777777" w:rsidR="00DC6871" w:rsidRPr="00745EB6" w:rsidRDefault="00DC6871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45EB6">
        <w:rPr>
          <w:rFonts w:ascii="Times New Roman" w:hAnsi="Times New Roman" w:cs="Times New Roman"/>
          <w:b/>
          <w:sz w:val="28"/>
          <w:szCs w:val="24"/>
          <w:lang w:val="en-GB"/>
        </w:rPr>
        <w:t>Course Organization and Reading List</w:t>
      </w:r>
    </w:p>
    <w:p w14:paraId="726E4926" w14:textId="77777777" w:rsidR="00DC6871" w:rsidRPr="00222808" w:rsidRDefault="00DC6871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F93E47" w14:textId="77777777" w:rsidR="00823DED" w:rsidRPr="00222808" w:rsidRDefault="0004053E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b/>
          <w:sz w:val="24"/>
          <w:szCs w:val="24"/>
          <w:lang w:val="en-GB"/>
        </w:rPr>
        <w:t>Introduction: what is an institution?</w:t>
      </w:r>
    </w:p>
    <w:p w14:paraId="73D6ECDA" w14:textId="77777777" w:rsidR="0004053E" w:rsidRPr="00222808" w:rsidRDefault="00EE536C" w:rsidP="002145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D.C. 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orth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053E" w:rsidRPr="00222808">
        <w:rPr>
          <w:rFonts w:ascii="Times New Roman" w:hAnsi="Times New Roman" w:cs="Times New Roman"/>
          <w:i/>
          <w:sz w:val="24"/>
          <w:szCs w:val="24"/>
          <w:lang w:val="en-GB"/>
        </w:rPr>
        <w:t>Institutions, Institutional Change and Economic Performance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>, Cambridge University Press</w:t>
      </w:r>
      <w:r w:rsidR="00BE239F">
        <w:rPr>
          <w:rFonts w:ascii="Times New Roman" w:hAnsi="Times New Roman" w:cs="Times New Roman"/>
          <w:sz w:val="24"/>
          <w:szCs w:val="24"/>
          <w:lang w:val="en-GB"/>
        </w:rPr>
        <w:t>, 1990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(chapters </w:t>
      </w:r>
      <w:r w:rsidR="00D4425C">
        <w:rPr>
          <w:rFonts w:ascii="Times New Roman" w:hAnsi="Times New Roman" w:cs="Times New Roman"/>
          <w:sz w:val="24"/>
          <w:szCs w:val="24"/>
          <w:lang w:val="en-GB"/>
        </w:rPr>
        <w:t>1-4 and 13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74956D7" w14:textId="77777777" w:rsidR="0004053E" w:rsidRDefault="001A2F58" w:rsidP="002145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EE536C" w:rsidRPr="00222808">
        <w:rPr>
          <w:rFonts w:ascii="Times New Roman" w:hAnsi="Times New Roman" w:cs="Times New Roman"/>
          <w:sz w:val="24"/>
          <w:szCs w:val="24"/>
          <w:lang w:val="en-GB"/>
        </w:rPr>
        <w:t>reif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4053E" w:rsidRPr="00222808">
        <w:rPr>
          <w:rFonts w:ascii="Times New Roman" w:hAnsi="Times New Roman" w:cs="Times New Roman"/>
          <w:i/>
          <w:sz w:val="24"/>
          <w:szCs w:val="24"/>
          <w:lang w:val="en-GB"/>
        </w:rPr>
        <w:t>Institutions and the Path to the Modern Economy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>, Cambridge University Press</w:t>
      </w:r>
      <w:r w:rsidR="00BE239F">
        <w:rPr>
          <w:rFonts w:ascii="Times New Roman" w:hAnsi="Times New Roman" w:cs="Times New Roman"/>
          <w:sz w:val="24"/>
          <w:szCs w:val="24"/>
          <w:lang w:val="en-GB"/>
        </w:rPr>
        <w:t>, 2006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20719">
        <w:rPr>
          <w:rFonts w:ascii="Times New Roman" w:hAnsi="Times New Roman" w:cs="Times New Roman"/>
          <w:sz w:val="24"/>
          <w:szCs w:val="24"/>
          <w:lang w:val="en-GB"/>
        </w:rPr>
        <w:t>only section</w:t>
      </w:r>
      <w:r w:rsidR="0004053E"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§2.1 of chapter 2).</w:t>
      </w:r>
    </w:p>
    <w:p w14:paraId="73954274" w14:textId="77777777" w:rsidR="007E4D3B" w:rsidRPr="00222808" w:rsidRDefault="007E4D3B" w:rsidP="0021454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Guala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922CA">
        <w:rPr>
          <w:rFonts w:ascii="Times New Roman" w:hAnsi="Times New Roman" w:cs="Times New Roman"/>
          <w:i/>
          <w:sz w:val="24"/>
          <w:szCs w:val="24"/>
          <w:lang w:val="en-GB"/>
        </w:rPr>
        <w:t>Understanding Institutions. The Science and Philosophy of Living Together</w:t>
      </w:r>
      <w:r>
        <w:rPr>
          <w:rFonts w:ascii="Times New Roman" w:hAnsi="Times New Roman" w:cs="Times New Roman"/>
          <w:sz w:val="24"/>
          <w:szCs w:val="24"/>
          <w:lang w:val="en-GB"/>
        </w:rPr>
        <w:t>, Princeton University Press, 2016 (Introduction)</w:t>
      </w:r>
    </w:p>
    <w:p w14:paraId="40235FDD" w14:textId="77777777" w:rsidR="0004053E" w:rsidRPr="00222808" w:rsidRDefault="0004053E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2187B7" w14:textId="77777777" w:rsidR="0004053E" w:rsidRPr="00222808" w:rsidRDefault="0004053E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b/>
          <w:sz w:val="24"/>
          <w:szCs w:val="24"/>
          <w:lang w:val="en-GB"/>
        </w:rPr>
        <w:t>Part I: The Rise of the Fiscal State in Europe (and Asia)</w:t>
      </w:r>
    </w:p>
    <w:p w14:paraId="29603692" w14:textId="77777777" w:rsidR="00154D5E" w:rsidRPr="00222808" w:rsidRDefault="00A40501" w:rsidP="0021454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R. Bonney, </w:t>
      </w:r>
      <w:r w:rsidRPr="00222808">
        <w:rPr>
          <w:rFonts w:ascii="Times New Roman" w:hAnsi="Times New Roman" w:cs="Times New Roman"/>
          <w:i/>
          <w:sz w:val="24"/>
          <w:szCs w:val="24"/>
          <w:lang w:val="en-GB"/>
        </w:rPr>
        <w:t>The Rise of the Fiscal State in Europe, c.1200-1815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, Oxford University Press, Oxford 1999 (Introduction)</w:t>
      </w:r>
    </w:p>
    <w:p w14:paraId="6B1A56A1" w14:textId="25A36652" w:rsidR="00B057FE" w:rsidRPr="00222808" w:rsidRDefault="00B057FE" w:rsidP="0021454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P. O’Brien </w:t>
      </w:r>
      <w:r w:rsidR="00320DB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B. Yun </w:t>
      </w:r>
      <w:proofErr w:type="spellStart"/>
      <w:r w:rsidRPr="00222808">
        <w:rPr>
          <w:rFonts w:ascii="Times New Roman" w:hAnsi="Times New Roman" w:cs="Times New Roman"/>
          <w:sz w:val="24"/>
          <w:szCs w:val="24"/>
          <w:lang w:val="en-GB"/>
        </w:rPr>
        <w:t>Casalilla</w:t>
      </w:r>
      <w:proofErr w:type="spellEnd"/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r w:rsidRPr="00222808">
        <w:rPr>
          <w:rFonts w:ascii="Times New Roman" w:hAnsi="Times New Roman" w:cs="Times New Roman"/>
          <w:i/>
          <w:sz w:val="24"/>
          <w:szCs w:val="24"/>
          <w:lang w:val="en-GB"/>
        </w:rPr>
        <w:t>The Rise of Fiscal States. A Global History, 1500-1914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. Cambridge: Cambridge University Press, 2012 (Introduction</w:t>
      </w:r>
      <w:r w:rsidR="001366DD">
        <w:rPr>
          <w:rFonts w:ascii="Times New Roman" w:hAnsi="Times New Roman" w:cs="Times New Roman"/>
          <w:sz w:val="24"/>
          <w:szCs w:val="24"/>
          <w:lang w:val="en-GB"/>
        </w:rPr>
        <w:t xml:space="preserve"> and Afterword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C7A454A" w14:textId="77777777" w:rsidR="002D34C7" w:rsidRDefault="002D34C7" w:rsidP="0021454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J. Goody, </w:t>
      </w:r>
      <w:r w:rsidRPr="00222808">
        <w:rPr>
          <w:rFonts w:ascii="Times New Roman" w:hAnsi="Times New Roman" w:cs="Times New Roman"/>
          <w:i/>
          <w:sz w:val="24"/>
          <w:szCs w:val="24"/>
          <w:lang w:val="en-GB"/>
        </w:rPr>
        <w:t>The Theft of History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>, Cambridge University Press</w:t>
      </w:r>
      <w:r w:rsidR="00BE239F">
        <w:rPr>
          <w:rFonts w:ascii="Times New Roman" w:hAnsi="Times New Roman" w:cs="Times New Roman"/>
          <w:sz w:val="24"/>
          <w:szCs w:val="24"/>
          <w:lang w:val="en-GB"/>
        </w:rPr>
        <w:t>, 2006</w:t>
      </w:r>
      <w:r w:rsidRPr="00222808">
        <w:rPr>
          <w:rFonts w:ascii="Times New Roman" w:hAnsi="Times New Roman" w:cs="Times New Roman"/>
          <w:sz w:val="24"/>
          <w:szCs w:val="24"/>
          <w:lang w:val="en-GB"/>
        </w:rPr>
        <w:t xml:space="preserve"> (Chapter 8)</w:t>
      </w:r>
    </w:p>
    <w:p w14:paraId="29C109D1" w14:textId="77777777" w:rsidR="00AD1B80" w:rsidRPr="00AD1B80" w:rsidRDefault="006C61E7" w:rsidP="00E809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1B8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K. </w:t>
      </w:r>
      <w:proofErr w:type="spellStart"/>
      <w:r w:rsidRPr="00AD1B80">
        <w:rPr>
          <w:rFonts w:ascii="Times New Roman" w:hAnsi="Times New Roman" w:cs="Times New Roman"/>
          <w:sz w:val="24"/>
          <w:szCs w:val="24"/>
          <w:lang w:val="en-GB"/>
        </w:rPr>
        <w:t>Messere</w:t>
      </w:r>
      <w:proofErr w:type="spellEnd"/>
      <w:r w:rsidRPr="00AD1B80">
        <w:rPr>
          <w:rFonts w:ascii="Times New Roman" w:hAnsi="Times New Roman" w:cs="Times New Roman"/>
          <w:sz w:val="24"/>
          <w:szCs w:val="24"/>
          <w:lang w:val="en-GB"/>
        </w:rPr>
        <w:t>, F. de Kam, C. Heady,</w:t>
      </w:r>
      <w:r w:rsidRPr="00AD1B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Tax Policy: Theory and Practice in OECD Countries</w:t>
      </w:r>
      <w:r w:rsidRPr="00AD1B80">
        <w:rPr>
          <w:rFonts w:ascii="Times New Roman" w:hAnsi="Times New Roman" w:cs="Times New Roman"/>
          <w:sz w:val="24"/>
          <w:szCs w:val="24"/>
          <w:lang w:val="en-GB"/>
        </w:rPr>
        <w:t>, OUP 2003, chapters 2 and 3</w:t>
      </w:r>
    </w:p>
    <w:p w14:paraId="6DA259FC" w14:textId="77777777" w:rsidR="00AD1B80" w:rsidRDefault="00AD1B80" w:rsidP="00AD1B8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630832" w14:textId="77777777" w:rsidR="004531D8" w:rsidRPr="00AD1B80" w:rsidRDefault="004531D8" w:rsidP="00AD1B8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3E0C27" w14:textId="77777777" w:rsidR="007301D4" w:rsidRPr="001B7A55" w:rsidRDefault="00DC7BA6" w:rsidP="00A044A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7A55">
        <w:rPr>
          <w:rFonts w:ascii="Times New Roman" w:hAnsi="Times New Roman" w:cs="Times New Roman"/>
          <w:b/>
          <w:sz w:val="24"/>
          <w:szCs w:val="24"/>
          <w:lang w:val="en-GB"/>
        </w:rPr>
        <w:t>Part II: Institutions and Inequality</w:t>
      </w:r>
    </w:p>
    <w:p w14:paraId="19651188" w14:textId="77777777" w:rsidR="00DC7BA6" w:rsidRPr="00FD0DE5" w:rsidRDefault="001A2F58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Acemoglu, S. Johnson, and J. A. Robinson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3A72" w:rsidRPr="00FD0DE5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Reversal of Fortune: Geography and</w:t>
      </w:r>
      <w:r w:rsidR="0021454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Institutions in the Making of the Modern World Income Distribution</w:t>
      </w:r>
      <w:r w:rsidR="00A53A72" w:rsidRPr="00FD0DE5">
        <w:rPr>
          <w:rFonts w:ascii="Times New Roman" w:hAnsi="Times New Roman" w:cs="Times New Roman"/>
          <w:sz w:val="24"/>
          <w:szCs w:val="24"/>
          <w:lang w:val="en-GB"/>
        </w:rPr>
        <w:t>",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3EA" w:rsidRPr="00FD0DE5">
        <w:rPr>
          <w:rFonts w:ascii="Times New Roman" w:eastAsia="AdvTmath2" w:hAnsi="Times New Roman" w:cs="Times New Roman"/>
          <w:i/>
          <w:sz w:val="24"/>
          <w:szCs w:val="24"/>
          <w:lang w:val="en-US"/>
        </w:rPr>
        <w:t>Quarterly Journal of</w:t>
      </w:r>
      <w:r w:rsidR="00214545" w:rsidRPr="00FD0DE5">
        <w:rPr>
          <w:rFonts w:ascii="Times New Roman" w:eastAsia="AdvTmath2" w:hAnsi="Times New Roman" w:cs="Times New Roman"/>
          <w:i/>
          <w:sz w:val="24"/>
          <w:szCs w:val="24"/>
          <w:lang w:val="en-US"/>
        </w:rPr>
        <w:t xml:space="preserve"> </w:t>
      </w:r>
      <w:r w:rsidR="007C23EA" w:rsidRPr="00FD0DE5">
        <w:rPr>
          <w:rFonts w:ascii="Times New Roman" w:eastAsia="AdvTmath2" w:hAnsi="Times New Roman" w:cs="Times New Roman"/>
          <w:i/>
          <w:sz w:val="24"/>
          <w:szCs w:val="24"/>
          <w:lang w:val="en-US"/>
        </w:rPr>
        <w:t>Economics</w:t>
      </w:r>
      <w:r w:rsidR="00A53A72" w:rsidRPr="00FD0DE5">
        <w:rPr>
          <w:rFonts w:ascii="Times New Roman" w:eastAsia="AdvTmath2" w:hAnsi="Times New Roman" w:cs="Times New Roman"/>
          <w:sz w:val="24"/>
          <w:szCs w:val="24"/>
          <w:lang w:val="en-US"/>
        </w:rPr>
        <w:t>,</w:t>
      </w:r>
      <w:r w:rsidR="007C23EA" w:rsidRPr="00FD0DE5">
        <w:rPr>
          <w:rFonts w:ascii="Times New Roman" w:eastAsia="AdvTmath2" w:hAnsi="Times New Roman" w:cs="Times New Roman"/>
          <w:sz w:val="24"/>
          <w:szCs w:val="24"/>
          <w:lang w:val="en-US"/>
        </w:rPr>
        <w:t xml:space="preserve"> </w:t>
      </w:r>
      <w:r w:rsidR="007C23EA" w:rsidRPr="00FD0DE5">
        <w:rPr>
          <w:rFonts w:ascii="Times New Roman" w:hAnsi="Times New Roman" w:cs="Times New Roman"/>
          <w:sz w:val="24"/>
          <w:szCs w:val="24"/>
          <w:lang w:val="en-US"/>
        </w:rPr>
        <w:t>117 (4)</w:t>
      </w:r>
      <w:r w:rsidR="00A53A72" w:rsidRPr="00FD0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4226" w:rsidRPr="00FD0DE5">
        <w:rPr>
          <w:rFonts w:ascii="Times New Roman" w:hAnsi="Times New Roman" w:cs="Times New Roman"/>
          <w:sz w:val="24"/>
          <w:szCs w:val="24"/>
          <w:lang w:val="en-US"/>
        </w:rPr>
        <w:t xml:space="preserve">2002, </w:t>
      </w:r>
      <w:r w:rsidR="00A53A72" w:rsidRPr="00FD0DE5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="007C23EA" w:rsidRPr="00FD0DE5">
        <w:rPr>
          <w:rFonts w:ascii="Times New Roman" w:hAnsi="Times New Roman" w:cs="Times New Roman"/>
          <w:sz w:val="24"/>
          <w:szCs w:val="24"/>
          <w:lang w:val="en-US"/>
        </w:rPr>
        <w:t xml:space="preserve"> 1231–1294</w:t>
      </w:r>
    </w:p>
    <w:p w14:paraId="3776ABDF" w14:textId="34A8A656" w:rsidR="005E5ACA" w:rsidRDefault="005E5ACA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Alfani, </w:t>
      </w:r>
      <w:r w:rsidRPr="005E5ACA">
        <w:rPr>
          <w:rFonts w:ascii="Times New Roman" w:hAnsi="Times New Roman" w:cs="Times New Roman"/>
          <w:sz w:val="24"/>
          <w:szCs w:val="24"/>
          <w:lang w:val="en-US"/>
        </w:rPr>
        <w:t xml:space="preserve">“Economic inequality in preindustrial times: Europe and beyond”, </w:t>
      </w:r>
      <w:r w:rsidRPr="00DC0AB5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Economic Literature</w:t>
      </w:r>
      <w:r w:rsidRPr="005E5ACA">
        <w:rPr>
          <w:rFonts w:ascii="Times New Roman" w:hAnsi="Times New Roman" w:cs="Times New Roman"/>
          <w:sz w:val="24"/>
          <w:szCs w:val="24"/>
          <w:lang w:val="en-US"/>
        </w:rPr>
        <w:t>, 59(1), 2021, pp. 3-44</w:t>
      </w:r>
      <w:r w:rsidR="001A2F58" w:rsidRPr="00FD0D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C0CB2C" w14:textId="30C51E15" w:rsidR="00CF45B5" w:rsidRPr="00FD0DE5" w:rsidRDefault="005E5ACA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F. </w:t>
      </w:r>
      <w:proofErr w:type="spellStart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Alvaredo</w:t>
      </w:r>
      <w:proofErr w:type="spellEnd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D4123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A.B. 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Atkinson, </w:t>
      </w:r>
      <w:r w:rsidR="004D4123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T. </w:t>
      </w:r>
      <w:proofErr w:type="spellStart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Picketty</w:t>
      </w:r>
      <w:proofErr w:type="spellEnd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4D4123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proofErr w:type="spellStart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Saez</w:t>
      </w:r>
      <w:proofErr w:type="spellEnd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, "The Top 1 Percent in International and Historical Perspective"</w:t>
      </w:r>
      <w:r w:rsidR="00C81051" w:rsidRPr="00FD0D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5B5" w:rsidRPr="00FD0DE5">
        <w:rPr>
          <w:rFonts w:ascii="Times New Roman" w:hAnsi="Times New Roman" w:cs="Times New Roman"/>
          <w:i/>
          <w:sz w:val="24"/>
          <w:szCs w:val="24"/>
          <w:lang w:val="en-GB"/>
        </w:rPr>
        <w:t>Journal of Economic Perspectives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, 27(3)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>, 2013, pp.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3-20.</w:t>
      </w:r>
    </w:p>
    <w:p w14:paraId="2D3F16AD" w14:textId="77777777" w:rsidR="00C52A01" w:rsidRPr="00FD0DE5" w:rsidRDefault="00CF45B5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="00C52A01" w:rsidRPr="00FD0DE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>orgerhoff</w:t>
      </w:r>
      <w:proofErr w:type="spellEnd"/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Mulder, S. Bowles, </w:t>
      </w:r>
      <w:r w:rsidR="00C52A01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et al., "Intergenerational wealth transmission and the dynamics of inequality in small-scale societies", </w:t>
      </w:r>
      <w:r w:rsidR="00C52A01" w:rsidRPr="00FD0DE5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 w:rsidR="00C52A01" w:rsidRPr="00FD0DE5">
        <w:rPr>
          <w:rFonts w:ascii="Times New Roman" w:hAnsi="Times New Roman" w:cs="Times New Roman"/>
          <w:sz w:val="24"/>
          <w:szCs w:val="24"/>
          <w:lang w:val="en-GB"/>
        </w:rPr>
        <w:t>, vol. 326, 2009, pp. 682-688</w:t>
      </w:r>
    </w:p>
    <w:p w14:paraId="6855AD75" w14:textId="77777777" w:rsidR="00C3543A" w:rsidRPr="00FD0DE5" w:rsidRDefault="001A2F58" w:rsidP="00C354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J.M. </w:t>
      </w:r>
      <w:r w:rsidR="00C3543A" w:rsidRPr="00FD0DE5">
        <w:rPr>
          <w:rFonts w:ascii="Times New Roman" w:hAnsi="Times New Roman" w:cs="Times New Roman"/>
          <w:sz w:val="24"/>
          <w:szCs w:val="24"/>
          <w:lang w:val="en-GB"/>
        </w:rPr>
        <w:t>Diamond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3543A" w:rsidRPr="00FD0DE5">
        <w:rPr>
          <w:rFonts w:ascii="Times New Roman" w:hAnsi="Times New Roman" w:cs="Times New Roman"/>
          <w:i/>
          <w:sz w:val="24"/>
          <w:szCs w:val="24"/>
          <w:lang w:val="en-GB"/>
        </w:rPr>
        <w:t>Guns, Germs and Steel: The Fate of Human Societies,</w:t>
      </w:r>
      <w:r w:rsidR="00C3543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New York: W. W. Norton &amp; Co.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>, 1997</w:t>
      </w:r>
      <w:r w:rsidR="00C3543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(chapter 14, 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3543A" w:rsidRPr="00FD0DE5">
        <w:rPr>
          <w:rFonts w:ascii="Times New Roman" w:hAnsi="Times New Roman" w:cs="Times New Roman"/>
          <w:sz w:val="24"/>
          <w:szCs w:val="24"/>
          <w:lang w:val="en-GB"/>
        </w:rPr>
        <w:t>From Egalitarianism to Kleptocracy: The Evolution of Government and Religion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3543A" w:rsidRPr="00FD0DE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9EC4DB3" w14:textId="77777777" w:rsidR="007C23EA" w:rsidRPr="00FD0DE5" w:rsidRDefault="001A2F58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S.L. </w:t>
      </w:r>
      <w:proofErr w:type="spellStart"/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Engerman</w:t>
      </w:r>
      <w:proofErr w:type="spellEnd"/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S. Haber 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and K. L. Sokolo</w:t>
      </w:r>
      <w:r w:rsidR="00996E3A" w:rsidRPr="00FD0DE5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C23EA" w:rsidRPr="00FD0DE5">
        <w:rPr>
          <w:rFonts w:ascii="Times New Roman" w:hAnsi="Times New Roman" w:cs="Times New Roman"/>
          <w:sz w:val="24"/>
          <w:szCs w:val="24"/>
          <w:lang w:val="en-GB"/>
        </w:rPr>
        <w:t>Factor Endowments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and Institutions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1454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C11ED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S.L. </w:t>
      </w:r>
      <w:proofErr w:type="spellStart"/>
      <w:r w:rsidR="003C11ED" w:rsidRPr="00FD0DE5">
        <w:rPr>
          <w:rFonts w:ascii="Times New Roman" w:hAnsi="Times New Roman" w:cs="Times New Roman"/>
          <w:sz w:val="24"/>
          <w:szCs w:val="24"/>
          <w:lang w:val="en-GB"/>
        </w:rPr>
        <w:t>Engerman</w:t>
      </w:r>
      <w:proofErr w:type="spellEnd"/>
      <w:r w:rsidR="003C11ED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and K. L. Sokoloff, </w:t>
      </w:r>
      <w:r w:rsidR="002F4226" w:rsidRPr="00FD0DE5">
        <w:rPr>
          <w:rFonts w:ascii="Times New Roman" w:hAnsi="Times New Roman" w:cs="Times New Roman"/>
          <w:i/>
          <w:sz w:val="24"/>
          <w:szCs w:val="24"/>
          <w:lang w:val="en-GB"/>
        </w:rPr>
        <w:t>Economic Development in the Americas since 1500</w:t>
      </w:r>
      <w:r w:rsidR="002F4226" w:rsidRPr="00FD0DE5">
        <w:rPr>
          <w:rFonts w:ascii="Times New Roman" w:hAnsi="Times New Roman" w:cs="Times New Roman"/>
          <w:sz w:val="24"/>
          <w:szCs w:val="24"/>
          <w:lang w:val="en-GB"/>
        </w:rPr>
        <w:t>, Cambridge University Press, Cambridge 2012, pp. 31-56.</w:t>
      </w:r>
    </w:p>
    <w:p w14:paraId="396DB0F5" w14:textId="77777777" w:rsidR="00CF45B5" w:rsidRDefault="001A2F58" w:rsidP="0021454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Milanovic,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P.H. </w:t>
      </w:r>
      <w:proofErr w:type="spellStart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Lindert</w:t>
      </w:r>
      <w:proofErr w:type="spellEnd"/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nd 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J.G. 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Williamson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(2011), 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Pre-Industrial Inequality</w:t>
      </w:r>
      <w:r w:rsidR="00A22BD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56C5E" w:rsidRPr="00FD0D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5B5" w:rsidRPr="00FD0DE5">
        <w:rPr>
          <w:rFonts w:ascii="Times New Roman" w:hAnsi="Times New Roman" w:cs="Times New Roman"/>
          <w:i/>
          <w:sz w:val="24"/>
          <w:szCs w:val="24"/>
          <w:lang w:val="en-GB"/>
        </w:rPr>
        <w:t>The Economic Journal</w:t>
      </w:r>
      <w:r w:rsidR="00CF45B5" w:rsidRPr="00FD0DE5">
        <w:rPr>
          <w:rFonts w:ascii="Times New Roman" w:hAnsi="Times New Roman" w:cs="Times New Roman"/>
          <w:sz w:val="24"/>
          <w:szCs w:val="24"/>
          <w:lang w:val="en-GB"/>
        </w:rPr>
        <w:t>, 121: 255–272</w:t>
      </w:r>
    </w:p>
    <w:p w14:paraId="402A742E" w14:textId="16F3FB3E" w:rsidR="001B7A55" w:rsidRDefault="001B7A55" w:rsidP="001B7A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8FA2A27" w14:textId="77777777" w:rsidR="0089494F" w:rsidRDefault="0089494F" w:rsidP="001B7A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FF46F3" w14:textId="77777777" w:rsidR="001B7A55" w:rsidRPr="001B7A55" w:rsidRDefault="001B7A55" w:rsidP="001B7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7A55">
        <w:rPr>
          <w:rFonts w:ascii="Times New Roman" w:hAnsi="Times New Roman" w:cs="Times New Roman"/>
          <w:b/>
          <w:sz w:val="24"/>
          <w:szCs w:val="24"/>
          <w:lang w:val="en-GB"/>
        </w:rPr>
        <w:t>Part III: Institutions and Social mobility</w:t>
      </w:r>
    </w:p>
    <w:p w14:paraId="70518D8C" w14:textId="77777777" w:rsidR="00AE127D" w:rsidRPr="00F34906" w:rsidRDefault="004321D1" w:rsidP="00F349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F3490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>S. Bearman and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>Deane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>The Structure of Opportunity: Middle-Class Mobility in England, 1548-1689</w:t>
      </w:r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34906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Journal of Sociology</w:t>
      </w:r>
      <w:r w:rsidRPr="00F34906">
        <w:rPr>
          <w:rFonts w:ascii="Times New Roman" w:hAnsi="Times New Roman" w:cs="Times New Roman"/>
          <w:sz w:val="24"/>
          <w:szCs w:val="24"/>
          <w:lang w:val="en-US"/>
        </w:rPr>
        <w:t>, 98 (1992), 30-66</w:t>
      </w:r>
    </w:p>
    <w:p w14:paraId="03B039AF" w14:textId="77777777" w:rsidR="00F34906" w:rsidRPr="004321D1" w:rsidRDefault="004321D1" w:rsidP="001208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Clark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N. 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Cummins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F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Intergenerational wealth mobility in England, 1858-2012: surnames and social mobility</w:t>
      </w:r>
      <w:r w:rsidR="009B45F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0874" w:rsidRPr="004321D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321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0874" w:rsidRPr="004321D1">
        <w:rPr>
          <w:rFonts w:ascii="Times New Roman" w:hAnsi="Times New Roman" w:cs="Times New Roman"/>
          <w:i/>
          <w:sz w:val="24"/>
          <w:szCs w:val="24"/>
          <w:lang w:val="en-US"/>
        </w:rPr>
        <w:t>Economic Journal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, 125</w:t>
      </w:r>
      <w:r w:rsidR="009B4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(February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120874" w:rsidRPr="00120874">
        <w:rPr>
          <w:rFonts w:ascii="Times New Roman" w:hAnsi="Times New Roman" w:cs="Times New Roman"/>
          <w:sz w:val="24"/>
          <w:szCs w:val="24"/>
          <w:lang w:val="en-US"/>
        </w:rPr>
        <w:t>), 61–85</w:t>
      </w:r>
    </w:p>
    <w:p w14:paraId="1AA1B1F0" w14:textId="202FEF97" w:rsidR="004531D8" w:rsidRDefault="004531D8" w:rsidP="001B7A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072A07" w14:textId="77777777" w:rsidR="0089494F" w:rsidRPr="00FD0DE5" w:rsidRDefault="0089494F" w:rsidP="001B7A5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83402FA" w14:textId="77777777" w:rsidR="00DC7BA6" w:rsidRPr="00FD0DE5" w:rsidRDefault="00DC7BA6" w:rsidP="007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8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 </w:t>
      </w:r>
      <w:r w:rsidRPr="00FD0D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III: Long-term Development of </w:t>
      </w:r>
      <w:r w:rsidR="00B2118A" w:rsidRPr="00FD0D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Political Institutions, </w:t>
      </w:r>
      <w:r w:rsidR="003A2E54" w:rsidRPr="00FD0DE5">
        <w:rPr>
          <w:rFonts w:ascii="Times New Roman" w:hAnsi="Times New Roman" w:cs="Times New Roman"/>
          <w:b/>
          <w:sz w:val="24"/>
          <w:szCs w:val="24"/>
          <w:lang w:val="en-GB"/>
        </w:rPr>
        <w:t>and others</w:t>
      </w:r>
    </w:p>
    <w:p w14:paraId="0E6312E8" w14:textId="77777777" w:rsidR="00DC7BA6" w:rsidRPr="00FD0DE5" w:rsidRDefault="001A2F58" w:rsidP="002228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D.C. 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North and 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B.R. </w:t>
      </w:r>
      <w:proofErr w:type="spellStart"/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>Weingast</w:t>
      </w:r>
      <w:proofErr w:type="spellEnd"/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>Constitutions and commitment: the evolution of institutions governing public</w:t>
      </w:r>
      <w:r w:rsidR="009A6644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>choice in seventeenth-century England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2118A" w:rsidRPr="00FD0DE5">
        <w:rPr>
          <w:rFonts w:ascii="Times New Roman" w:hAnsi="Times New Roman" w:cs="Times New Roman"/>
          <w:i/>
          <w:sz w:val="24"/>
          <w:szCs w:val="24"/>
          <w:lang w:val="en-GB"/>
        </w:rPr>
        <w:t>Journal of Economic History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>, XLIX (1989), pp. 803–</w:t>
      </w:r>
      <w:r w:rsidR="00E319AE" w:rsidRPr="00FD0DE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B2118A" w:rsidRPr="00FD0DE5">
        <w:rPr>
          <w:rFonts w:ascii="Times New Roman" w:hAnsi="Times New Roman" w:cs="Times New Roman"/>
          <w:sz w:val="24"/>
          <w:szCs w:val="24"/>
          <w:lang w:val="en-GB"/>
        </w:rPr>
        <w:t>32.</w:t>
      </w:r>
    </w:p>
    <w:p w14:paraId="09D8F8D8" w14:textId="11C89DB2" w:rsidR="00EF5BD2" w:rsidRPr="00FD0DE5" w:rsidRDefault="007676DE" w:rsidP="002228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="00EF5BD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Ostrom, 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F5BD2" w:rsidRPr="00FD0DE5">
        <w:rPr>
          <w:rFonts w:ascii="Times New Roman" w:hAnsi="Times New Roman" w:cs="Times New Roman"/>
          <w:sz w:val="24"/>
          <w:szCs w:val="24"/>
          <w:lang w:val="en-GB"/>
        </w:rPr>
        <w:t>Private and Common Property Rights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F5BD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F5BD2" w:rsidRPr="0089494F">
        <w:rPr>
          <w:rFonts w:ascii="Times New Roman" w:hAnsi="Times New Roman" w:cs="Times New Roman"/>
          <w:i/>
          <w:iCs/>
          <w:sz w:val="24"/>
          <w:szCs w:val="24"/>
          <w:lang w:val="en-GB"/>
        </w:rPr>
        <w:t>Encyclopaedia of Law and Economics</w:t>
      </w:r>
      <w:r w:rsidR="00EF5BD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vol. 2, </w:t>
      </w:r>
      <w:r w:rsidR="002431E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2000, </w:t>
      </w:r>
      <w:r w:rsidR="00EF5BD2" w:rsidRPr="00FD0DE5">
        <w:rPr>
          <w:rFonts w:ascii="Times New Roman" w:hAnsi="Times New Roman" w:cs="Times New Roman"/>
          <w:sz w:val="24"/>
          <w:szCs w:val="24"/>
          <w:lang w:val="en-GB"/>
        </w:rPr>
        <w:t>pp. 332-352</w:t>
      </w:r>
    </w:p>
    <w:p w14:paraId="63CF3089" w14:textId="77777777" w:rsidR="007A24B4" w:rsidRPr="00FD0DE5" w:rsidRDefault="001A2F58" w:rsidP="002228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J.L. 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proofErr w:type="spellStart"/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>Zanden</w:t>
      </w:r>
      <w:proofErr w:type="spellEnd"/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proofErr w:type="spellStart"/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>Buringh</w:t>
      </w:r>
      <w:proofErr w:type="spellEnd"/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and M.</w:t>
      </w:r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Bosker, 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>The rise and decline of European parliaments, 1188-1789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24B4" w:rsidRPr="00FD0DE5">
        <w:rPr>
          <w:rFonts w:ascii="Times New Roman" w:hAnsi="Times New Roman" w:cs="Times New Roman"/>
          <w:i/>
          <w:sz w:val="24"/>
          <w:szCs w:val="24"/>
          <w:lang w:val="en-GB"/>
        </w:rPr>
        <w:t>Economic History Review</w:t>
      </w:r>
      <w:r w:rsidR="00222808" w:rsidRPr="00FD0DE5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Aug</w:t>
      </w:r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ust 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>2012, Vol. 65</w:t>
      </w:r>
      <w:r w:rsidR="00222808" w:rsidRPr="00FD0D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A24B4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 Issue 3, pp. 835-861</w:t>
      </w:r>
    </w:p>
    <w:p w14:paraId="1E85EF35" w14:textId="77777777" w:rsidR="00B549E9" w:rsidRPr="00FD0DE5" w:rsidRDefault="001A2F58" w:rsidP="002228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J.L. </w:t>
      </w:r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Van </w:t>
      </w:r>
      <w:proofErr w:type="spellStart"/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>Zanden</w:t>
      </w:r>
      <w:proofErr w:type="spellEnd"/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0372" w:rsidRPr="009C4D97">
        <w:rPr>
          <w:rFonts w:ascii="Times New Roman" w:hAnsi="Times New Roman" w:cs="Times New Roman"/>
          <w:i/>
          <w:sz w:val="24"/>
          <w:szCs w:val="24"/>
          <w:lang w:val="en-GB"/>
        </w:rPr>
        <w:t>The Long Road to the Industrial Revolution</w:t>
      </w:r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 xml:space="preserve">, Brill 2009 (pp. 205-232, 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>State formation and citizenship</w:t>
      </w:r>
      <w:r w:rsidR="009C4D9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A30372" w:rsidRPr="00FD0DE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3368C43" w14:textId="77777777" w:rsidR="00A30372" w:rsidRPr="00FD0DE5" w:rsidRDefault="00A30372" w:rsidP="009A5085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</w:p>
    <w:p w14:paraId="2EAFAF2C" w14:textId="77777777" w:rsidR="00A30372" w:rsidRDefault="00A30372" w:rsidP="00A3037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DFF3BE" w14:textId="77777777" w:rsidR="007A24B4" w:rsidRDefault="007A24B4" w:rsidP="00B2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A24B4" w:rsidSect="00060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math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4EED"/>
    <w:multiLevelType w:val="hybridMultilevel"/>
    <w:tmpl w:val="898C3C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4E1B"/>
    <w:multiLevelType w:val="hybridMultilevel"/>
    <w:tmpl w:val="48A2EDF0"/>
    <w:lvl w:ilvl="0" w:tplc="C81C6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E52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4D3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42A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3C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80E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D1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487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B5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A36"/>
    <w:multiLevelType w:val="hybridMultilevel"/>
    <w:tmpl w:val="6CAA2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17FD"/>
    <w:multiLevelType w:val="hybridMultilevel"/>
    <w:tmpl w:val="E4F4EC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777AA"/>
    <w:multiLevelType w:val="hybridMultilevel"/>
    <w:tmpl w:val="FA68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1F8"/>
    <w:multiLevelType w:val="hybridMultilevel"/>
    <w:tmpl w:val="4E2C3C62"/>
    <w:lvl w:ilvl="0" w:tplc="EF9E3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A27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CDD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38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6EB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81B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823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05C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C4B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6197"/>
    <w:multiLevelType w:val="multilevel"/>
    <w:tmpl w:val="F3465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D42703"/>
    <w:multiLevelType w:val="hybridMultilevel"/>
    <w:tmpl w:val="CDBAF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17115"/>
    <w:multiLevelType w:val="hybridMultilevel"/>
    <w:tmpl w:val="B1FEFCD0"/>
    <w:lvl w:ilvl="0" w:tplc="971210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0C35"/>
    <w:multiLevelType w:val="hybridMultilevel"/>
    <w:tmpl w:val="80A4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802"/>
    <w:multiLevelType w:val="hybridMultilevel"/>
    <w:tmpl w:val="06F2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E3"/>
    <w:rsid w:val="0003463C"/>
    <w:rsid w:val="0004053E"/>
    <w:rsid w:val="00060C44"/>
    <w:rsid w:val="00063522"/>
    <w:rsid w:val="00065484"/>
    <w:rsid w:val="000C05F4"/>
    <w:rsid w:val="000F05CA"/>
    <w:rsid w:val="000F34E1"/>
    <w:rsid w:val="00106904"/>
    <w:rsid w:val="00113805"/>
    <w:rsid w:val="00120874"/>
    <w:rsid w:val="001322F5"/>
    <w:rsid w:val="001366DD"/>
    <w:rsid w:val="0013789F"/>
    <w:rsid w:val="00154D5E"/>
    <w:rsid w:val="00155A54"/>
    <w:rsid w:val="0016446F"/>
    <w:rsid w:val="001656C9"/>
    <w:rsid w:val="0018299B"/>
    <w:rsid w:val="001A2F58"/>
    <w:rsid w:val="001B7012"/>
    <w:rsid w:val="001B7A55"/>
    <w:rsid w:val="001E4440"/>
    <w:rsid w:val="00205829"/>
    <w:rsid w:val="00214545"/>
    <w:rsid w:val="00222808"/>
    <w:rsid w:val="0022593A"/>
    <w:rsid w:val="002431E2"/>
    <w:rsid w:val="002464F9"/>
    <w:rsid w:val="00284D2C"/>
    <w:rsid w:val="002B6C9F"/>
    <w:rsid w:val="002C549E"/>
    <w:rsid w:val="002D34C7"/>
    <w:rsid w:val="002E3779"/>
    <w:rsid w:val="002F4226"/>
    <w:rsid w:val="0030768E"/>
    <w:rsid w:val="00320DB5"/>
    <w:rsid w:val="003464CC"/>
    <w:rsid w:val="003A26E5"/>
    <w:rsid w:val="003A2E54"/>
    <w:rsid w:val="003A4EC0"/>
    <w:rsid w:val="003C11ED"/>
    <w:rsid w:val="003D0F8B"/>
    <w:rsid w:val="003D1061"/>
    <w:rsid w:val="003D38FA"/>
    <w:rsid w:val="003F6A04"/>
    <w:rsid w:val="0041125C"/>
    <w:rsid w:val="00426B59"/>
    <w:rsid w:val="004321D1"/>
    <w:rsid w:val="004531D8"/>
    <w:rsid w:val="00462EB5"/>
    <w:rsid w:val="00464D01"/>
    <w:rsid w:val="004C2A38"/>
    <w:rsid w:val="004D4123"/>
    <w:rsid w:val="004D7EB2"/>
    <w:rsid w:val="00506735"/>
    <w:rsid w:val="00516B29"/>
    <w:rsid w:val="00531FB4"/>
    <w:rsid w:val="005716D9"/>
    <w:rsid w:val="005A4D7A"/>
    <w:rsid w:val="005A5284"/>
    <w:rsid w:val="005A7C6F"/>
    <w:rsid w:val="005E5ACA"/>
    <w:rsid w:val="005F0F7A"/>
    <w:rsid w:val="00600F44"/>
    <w:rsid w:val="00636BC6"/>
    <w:rsid w:val="00686AB1"/>
    <w:rsid w:val="006963FF"/>
    <w:rsid w:val="006A0ACA"/>
    <w:rsid w:val="006C2F6F"/>
    <w:rsid w:val="006C61E7"/>
    <w:rsid w:val="00720719"/>
    <w:rsid w:val="007301D4"/>
    <w:rsid w:val="00745EB6"/>
    <w:rsid w:val="00756C5E"/>
    <w:rsid w:val="007676DE"/>
    <w:rsid w:val="007725DF"/>
    <w:rsid w:val="007807C4"/>
    <w:rsid w:val="00793EC1"/>
    <w:rsid w:val="007A24B4"/>
    <w:rsid w:val="007C23EA"/>
    <w:rsid w:val="007D40A2"/>
    <w:rsid w:val="007E4D3B"/>
    <w:rsid w:val="008178DF"/>
    <w:rsid w:val="00817C7E"/>
    <w:rsid w:val="00823DED"/>
    <w:rsid w:val="00830B51"/>
    <w:rsid w:val="00831417"/>
    <w:rsid w:val="008545C6"/>
    <w:rsid w:val="00856B1C"/>
    <w:rsid w:val="0089494F"/>
    <w:rsid w:val="008A344D"/>
    <w:rsid w:val="008A68F3"/>
    <w:rsid w:val="008D1C8C"/>
    <w:rsid w:val="00934273"/>
    <w:rsid w:val="00951DE3"/>
    <w:rsid w:val="00995F64"/>
    <w:rsid w:val="00996E3A"/>
    <w:rsid w:val="009A5085"/>
    <w:rsid w:val="009A6644"/>
    <w:rsid w:val="009B45F9"/>
    <w:rsid w:val="009C1296"/>
    <w:rsid w:val="009C1A55"/>
    <w:rsid w:val="009C4D97"/>
    <w:rsid w:val="00A044AF"/>
    <w:rsid w:val="00A22BD0"/>
    <w:rsid w:val="00A30372"/>
    <w:rsid w:val="00A30BC4"/>
    <w:rsid w:val="00A40501"/>
    <w:rsid w:val="00A524AD"/>
    <w:rsid w:val="00A53A72"/>
    <w:rsid w:val="00A53D51"/>
    <w:rsid w:val="00A670A1"/>
    <w:rsid w:val="00A91880"/>
    <w:rsid w:val="00AB38A8"/>
    <w:rsid w:val="00AD1B80"/>
    <w:rsid w:val="00AD276D"/>
    <w:rsid w:val="00AE045D"/>
    <w:rsid w:val="00AE127D"/>
    <w:rsid w:val="00AF524B"/>
    <w:rsid w:val="00B057FE"/>
    <w:rsid w:val="00B2118A"/>
    <w:rsid w:val="00B549E9"/>
    <w:rsid w:val="00B57B2E"/>
    <w:rsid w:val="00BC2A82"/>
    <w:rsid w:val="00BE239F"/>
    <w:rsid w:val="00C3543A"/>
    <w:rsid w:val="00C52A01"/>
    <w:rsid w:val="00C52DCE"/>
    <w:rsid w:val="00C621BD"/>
    <w:rsid w:val="00C81051"/>
    <w:rsid w:val="00C96643"/>
    <w:rsid w:val="00C97FEF"/>
    <w:rsid w:val="00CA1616"/>
    <w:rsid w:val="00CC7FB9"/>
    <w:rsid w:val="00CF45B5"/>
    <w:rsid w:val="00D0135F"/>
    <w:rsid w:val="00D14C9C"/>
    <w:rsid w:val="00D322D5"/>
    <w:rsid w:val="00D4425C"/>
    <w:rsid w:val="00D96B29"/>
    <w:rsid w:val="00DC0AB5"/>
    <w:rsid w:val="00DC6871"/>
    <w:rsid w:val="00DC7BA6"/>
    <w:rsid w:val="00DC7ED8"/>
    <w:rsid w:val="00DF29B8"/>
    <w:rsid w:val="00E20EC0"/>
    <w:rsid w:val="00E2344E"/>
    <w:rsid w:val="00E319AE"/>
    <w:rsid w:val="00E52AA4"/>
    <w:rsid w:val="00E93400"/>
    <w:rsid w:val="00EA5494"/>
    <w:rsid w:val="00EB0028"/>
    <w:rsid w:val="00EC3547"/>
    <w:rsid w:val="00EE536C"/>
    <w:rsid w:val="00EF5BD2"/>
    <w:rsid w:val="00F012CC"/>
    <w:rsid w:val="00F302BC"/>
    <w:rsid w:val="00F34906"/>
    <w:rsid w:val="00F35731"/>
    <w:rsid w:val="00F67F67"/>
    <w:rsid w:val="00F807DC"/>
    <w:rsid w:val="00F922CA"/>
    <w:rsid w:val="00FD0DE5"/>
    <w:rsid w:val="00FD26A3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CE79"/>
  <w15:docId w15:val="{9C896DA8-B9EF-48CC-9268-25682F7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07C4"/>
    <w:rPr>
      <w:color w:val="0000FF" w:themeColor="hyperlink"/>
      <w:u w:val="single"/>
    </w:rPr>
  </w:style>
  <w:style w:type="paragraph" w:customStyle="1" w:styleId="Default">
    <w:name w:val="Default"/>
    <w:rsid w:val="0078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85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545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8545C6"/>
    <w:rPr>
      <w:rFonts w:ascii="Times New Roman" w:eastAsia="Times New Roman" w:hAnsi="Times New Roman" w:cs="Times New Roman"/>
      <w:sz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2145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C57A-E832-402B-9D97-1ADED0A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Universita' Luigi Bocconi</dc:creator>
  <cp:lastModifiedBy>Silvia Acquati</cp:lastModifiedBy>
  <cp:revision>2</cp:revision>
  <cp:lastPrinted>2018-04-09T08:52:00Z</cp:lastPrinted>
  <dcterms:created xsi:type="dcterms:W3CDTF">2021-03-24T12:57:00Z</dcterms:created>
  <dcterms:modified xsi:type="dcterms:W3CDTF">2021-03-24T12:57:00Z</dcterms:modified>
</cp:coreProperties>
</file>