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2A" w:rsidRDefault="00303B4D" w:rsidP="0018602A">
      <w:pPr>
        <w:jc w:val="right"/>
        <w:rPr>
          <w:color w:val="1F497D"/>
        </w:rPr>
      </w:pPr>
      <w:bookmarkStart w:id="0" w:name="_GoBack"/>
      <w:bookmarkEnd w:id="0"/>
      <w:r>
        <w:rPr>
          <w:noProof/>
          <w:snapToGrid/>
          <w:lang w:val="it-IT" w:eastAsia="it-IT"/>
        </w:rPr>
        <w:drawing>
          <wp:inline distT="0" distB="0" distL="0" distR="0" wp14:anchorId="653ECDD3" wp14:editId="356AF3AA">
            <wp:extent cx="3657600" cy="933450"/>
            <wp:effectExtent l="0" t="0" r="0" b="0"/>
            <wp:docPr id="11" name="Picture 11" descr="cid:image001.jpg@01D2A7AE.8F59A290"/>
            <wp:cNvGraphicFramePr/>
            <a:graphic xmlns:a="http://schemas.openxmlformats.org/drawingml/2006/main">
              <a:graphicData uri="http://schemas.openxmlformats.org/drawingml/2006/picture">
                <pic:pic xmlns:pic="http://schemas.openxmlformats.org/drawingml/2006/picture">
                  <pic:nvPicPr>
                    <pic:cNvPr id="11" name="Picture 11" descr="cid:image001.jpg@01D2A7AE.8F59A2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933450"/>
                    </a:xfrm>
                    <a:prstGeom prst="rect">
                      <a:avLst/>
                    </a:prstGeom>
                    <a:noFill/>
                    <a:ln>
                      <a:noFill/>
                    </a:ln>
                  </pic:spPr>
                </pic:pic>
              </a:graphicData>
            </a:graphic>
          </wp:inline>
        </w:drawing>
      </w:r>
    </w:p>
    <w:p w:rsidR="00FB506C" w:rsidRPr="00595781" w:rsidRDefault="00FB506C">
      <w:pPr>
        <w:rPr>
          <w:rFonts w:ascii="Verdana" w:hAnsi="Verdana"/>
          <w:lang w:val="en-US"/>
        </w:rPr>
      </w:pPr>
    </w:p>
    <w:tbl>
      <w:tblPr>
        <w:tblW w:w="14601" w:type="dxa"/>
        <w:tblInd w:w="120" w:type="dxa"/>
        <w:tblLayout w:type="fixed"/>
        <w:tblCellMar>
          <w:left w:w="120" w:type="dxa"/>
          <w:right w:w="120" w:type="dxa"/>
        </w:tblCellMar>
        <w:tblLook w:val="0000" w:firstRow="0" w:lastRow="0" w:firstColumn="0" w:lastColumn="0" w:noHBand="0" w:noVBand="0"/>
      </w:tblPr>
      <w:tblGrid>
        <w:gridCol w:w="1255"/>
        <w:gridCol w:w="5945"/>
        <w:gridCol w:w="7401"/>
      </w:tblGrid>
      <w:tr w:rsidR="00D164B8" w:rsidRPr="003F1683">
        <w:trPr>
          <w:cantSplit/>
        </w:trPr>
        <w:tc>
          <w:tcPr>
            <w:tcW w:w="14601" w:type="dxa"/>
            <w:gridSpan w:val="3"/>
            <w:tcBorders>
              <w:top w:val="double" w:sz="6" w:space="0" w:color="auto"/>
              <w:left w:val="double" w:sz="6" w:space="0" w:color="auto"/>
              <w:bottom w:val="double" w:sz="6" w:space="0" w:color="auto"/>
              <w:right w:val="double" w:sz="6" w:space="0" w:color="auto"/>
            </w:tcBorders>
          </w:tcPr>
          <w:p w:rsidR="004E38F7" w:rsidRDefault="004E38F7" w:rsidP="001835DC">
            <w:pPr>
              <w:tabs>
                <w:tab w:val="left" w:pos="284"/>
              </w:tabs>
              <w:rPr>
                <w:rFonts w:ascii="Verdana" w:hAnsi="Verdana"/>
                <w:b/>
                <w:smallCaps/>
                <w:lang w:val="en-US"/>
              </w:rPr>
            </w:pPr>
          </w:p>
          <w:p w:rsidR="00303B4D" w:rsidRPr="00303B4D" w:rsidRDefault="00303B4D" w:rsidP="00AE65D8">
            <w:pPr>
              <w:tabs>
                <w:tab w:val="left" w:pos="284"/>
              </w:tabs>
              <w:rPr>
                <w:rFonts w:ascii="Verdana" w:hAnsi="Verdana"/>
                <w:b/>
                <w:spacing w:val="-2"/>
                <w:sz w:val="16"/>
                <w:szCs w:val="16"/>
                <w:lang w:val="en-US"/>
              </w:rPr>
            </w:pPr>
            <w:r>
              <w:rPr>
                <w:rFonts w:ascii="Verdana" w:hAnsi="Verdana"/>
                <w:b/>
                <w:spacing w:val="-2"/>
                <w:lang w:val="en-US"/>
              </w:rPr>
              <w:t>Maastricht University</w:t>
            </w:r>
          </w:p>
          <w:p w:rsidR="006C005E" w:rsidRDefault="00303B4D" w:rsidP="00AE65D8">
            <w:pPr>
              <w:tabs>
                <w:tab w:val="left" w:pos="284"/>
              </w:tabs>
              <w:rPr>
                <w:rFonts w:ascii="Verdana" w:hAnsi="Verdana"/>
                <w:b/>
                <w:spacing w:val="-2"/>
                <w:lang w:val="en-US"/>
              </w:rPr>
            </w:pPr>
            <w:r>
              <w:rPr>
                <w:rFonts w:ascii="Verdana" w:hAnsi="Verdana"/>
                <w:b/>
                <w:spacing w:val="-2"/>
                <w:lang w:val="en-US"/>
              </w:rPr>
              <w:t>FACULTY OF LAW</w:t>
            </w:r>
            <w:r w:rsidR="00107725">
              <w:rPr>
                <w:rFonts w:ascii="Verdana" w:hAnsi="Verdana"/>
                <w:b/>
                <w:spacing w:val="-2"/>
                <w:lang w:val="en-US"/>
              </w:rPr>
              <w:t xml:space="preserve"> - </w:t>
            </w:r>
            <w:r w:rsidR="00592563" w:rsidRPr="00107725">
              <w:rPr>
                <w:rFonts w:ascii="Verdana" w:hAnsi="Verdana"/>
                <w:b/>
                <w:spacing w:val="-2"/>
                <w:lang w:val="en-US"/>
              </w:rPr>
              <w:t xml:space="preserve">THEMIS courses </w:t>
            </w:r>
            <w:r w:rsidR="004E38F7">
              <w:rPr>
                <w:rFonts w:ascii="Verdana" w:hAnsi="Verdana"/>
                <w:b/>
                <w:spacing w:val="-2"/>
                <w:lang w:val="en-US"/>
              </w:rPr>
              <w:t>2017/</w:t>
            </w:r>
            <w:r w:rsidR="003F1683">
              <w:rPr>
                <w:rFonts w:ascii="Verdana" w:hAnsi="Verdana"/>
                <w:b/>
                <w:spacing w:val="-2"/>
                <w:lang w:val="en-US"/>
              </w:rPr>
              <w:t>2018</w:t>
            </w:r>
          </w:p>
          <w:p w:rsidR="00AC6918" w:rsidRPr="00A20554" w:rsidRDefault="00AC6918" w:rsidP="00AE65D8">
            <w:pPr>
              <w:tabs>
                <w:tab w:val="left" w:pos="284"/>
              </w:tabs>
              <w:rPr>
                <w:rFonts w:ascii="Verdana" w:hAnsi="Verdana"/>
                <w:spacing w:val="-2"/>
                <w:sz w:val="16"/>
                <w:szCs w:val="16"/>
                <w:lang w:val="en-US"/>
              </w:rPr>
            </w:pPr>
          </w:p>
        </w:tc>
      </w:tr>
      <w:tr w:rsidR="004E38F7" w:rsidRPr="00AC6918" w:rsidTr="00610E67">
        <w:tc>
          <w:tcPr>
            <w:tcW w:w="1255" w:type="dxa"/>
            <w:tcBorders>
              <w:top w:val="double" w:sz="6" w:space="0" w:color="auto"/>
              <w:left w:val="double" w:sz="6" w:space="0" w:color="auto"/>
              <w:bottom w:val="double" w:sz="6" w:space="0" w:color="auto"/>
              <w:right w:val="double" w:sz="6" w:space="0" w:color="auto"/>
            </w:tcBorders>
            <w:shd w:val="pct10" w:color="auto" w:fill="auto"/>
          </w:tcPr>
          <w:p w:rsidR="004E38F7" w:rsidRPr="00CD5C8D" w:rsidRDefault="004E38F7" w:rsidP="001D38D3">
            <w:pPr>
              <w:tabs>
                <w:tab w:val="left" w:pos="-97"/>
                <w:tab w:val="left" w:pos="23"/>
                <w:tab w:val="left" w:pos="753"/>
                <w:tab w:val="left" w:pos="1418"/>
                <w:tab w:val="left" w:pos="1604"/>
                <w:tab w:val="left" w:pos="2455"/>
                <w:tab w:val="right" w:pos="8931"/>
              </w:tabs>
              <w:suppressAutoHyphens/>
              <w:spacing w:before="90" w:after="54"/>
              <w:rPr>
                <w:rFonts w:ascii="Verdana" w:hAnsi="Verdana"/>
                <w:b/>
                <w:spacing w:val="-2"/>
                <w:sz w:val="16"/>
                <w:szCs w:val="16"/>
                <w:lang w:val="en-US"/>
              </w:rPr>
            </w:pPr>
          </w:p>
        </w:tc>
        <w:tc>
          <w:tcPr>
            <w:tcW w:w="5945" w:type="dxa"/>
            <w:tcBorders>
              <w:top w:val="double" w:sz="6" w:space="0" w:color="auto"/>
              <w:left w:val="single" w:sz="6" w:space="0" w:color="auto"/>
              <w:bottom w:val="double" w:sz="6" w:space="0" w:color="auto"/>
            </w:tcBorders>
          </w:tcPr>
          <w:p w:rsidR="004E38F7" w:rsidRPr="00CD5C8D" w:rsidRDefault="004E38F7" w:rsidP="001D38D3">
            <w:pPr>
              <w:tabs>
                <w:tab w:val="left" w:pos="-1352"/>
                <w:tab w:val="left" w:pos="-502"/>
                <w:tab w:val="left" w:pos="23"/>
                <w:tab w:val="left" w:pos="349"/>
                <w:tab w:val="left" w:pos="1200"/>
                <w:tab w:val="left" w:pos="1418"/>
                <w:tab w:val="left" w:pos="2051"/>
                <w:tab w:val="left" w:pos="2902"/>
                <w:tab w:val="left" w:pos="3752"/>
                <w:tab w:val="left" w:pos="4603"/>
                <w:tab w:val="right" w:pos="8931"/>
              </w:tabs>
              <w:suppressAutoHyphens/>
              <w:rPr>
                <w:rFonts w:ascii="Verdana" w:hAnsi="Verdana" w:cs="Arial"/>
                <w:b/>
                <w:spacing w:val="-2"/>
                <w:sz w:val="18"/>
                <w:szCs w:val="18"/>
                <w:lang w:val="fr-FR" w:eastAsia="en-US"/>
              </w:rPr>
            </w:pPr>
            <w:r w:rsidRPr="00CD5C8D">
              <w:rPr>
                <w:rFonts w:ascii="Verdana" w:hAnsi="Verdana" w:cs="Arial"/>
                <w:b/>
                <w:spacing w:val="-2"/>
                <w:sz w:val="18"/>
                <w:szCs w:val="18"/>
                <w:lang w:val="fr-FR" w:eastAsia="en-US"/>
              </w:rPr>
              <w:t>Period 1</w:t>
            </w:r>
          </w:p>
          <w:p w:rsidR="004E38F7" w:rsidRPr="00CD5C8D" w:rsidRDefault="004E38F7" w:rsidP="001D38D3">
            <w:pPr>
              <w:tabs>
                <w:tab w:val="left" w:pos="-1352"/>
                <w:tab w:val="left" w:pos="-502"/>
                <w:tab w:val="left" w:pos="23"/>
                <w:tab w:val="left" w:pos="349"/>
                <w:tab w:val="left" w:pos="1200"/>
                <w:tab w:val="left" w:pos="1418"/>
                <w:tab w:val="left" w:pos="2051"/>
                <w:tab w:val="left" w:pos="2902"/>
                <w:tab w:val="left" w:pos="3752"/>
                <w:tab w:val="left" w:pos="4603"/>
                <w:tab w:val="right" w:pos="8931"/>
              </w:tabs>
              <w:suppressAutoHyphens/>
              <w:spacing w:before="90" w:after="54"/>
              <w:rPr>
                <w:rFonts w:ascii="Verdana" w:hAnsi="Verdana" w:cs="Arial"/>
                <w:b/>
                <w:spacing w:val="-2"/>
                <w:sz w:val="18"/>
                <w:szCs w:val="18"/>
                <w:lang w:val="fr-FR" w:eastAsia="en-US"/>
              </w:rPr>
            </w:pPr>
            <w:r w:rsidRPr="002D4751">
              <w:rPr>
                <w:rFonts w:ascii="Verdana" w:hAnsi="Verdana" w:cs="Arial"/>
                <w:b/>
                <w:spacing w:val="-2"/>
                <w:sz w:val="18"/>
                <w:szCs w:val="18"/>
                <w:lang w:val="fr-FR" w:eastAsia="en-US"/>
              </w:rPr>
              <w:t>Sept.</w:t>
            </w:r>
            <w:r>
              <w:rPr>
                <w:rFonts w:ascii="Verdana" w:hAnsi="Verdana" w:cs="Arial"/>
                <w:b/>
                <w:spacing w:val="-2"/>
                <w:sz w:val="18"/>
                <w:szCs w:val="18"/>
                <w:lang w:val="fr-FR" w:eastAsia="en-US"/>
              </w:rPr>
              <w:t xml:space="preserve"> 4</w:t>
            </w:r>
            <w:r w:rsidRPr="002D4751">
              <w:rPr>
                <w:rFonts w:ascii="Verdana" w:hAnsi="Verdana" w:cs="Arial"/>
                <w:b/>
                <w:spacing w:val="-2"/>
                <w:sz w:val="18"/>
                <w:szCs w:val="18"/>
                <w:lang w:val="fr-FR" w:eastAsia="en-US"/>
              </w:rPr>
              <w:t xml:space="preserve">  until Oct. 2</w:t>
            </w:r>
            <w:r>
              <w:rPr>
                <w:rFonts w:ascii="Verdana" w:hAnsi="Verdana" w:cs="Arial"/>
                <w:b/>
                <w:spacing w:val="-2"/>
                <w:sz w:val="18"/>
                <w:szCs w:val="18"/>
                <w:lang w:val="fr-FR" w:eastAsia="en-US"/>
              </w:rPr>
              <w:t>7</w:t>
            </w:r>
            <w:r w:rsidRPr="002D4751">
              <w:rPr>
                <w:rFonts w:ascii="Verdana" w:hAnsi="Verdana" w:cs="Arial"/>
                <w:b/>
                <w:spacing w:val="-2"/>
                <w:sz w:val="18"/>
                <w:szCs w:val="18"/>
                <w:lang w:val="fr-FR" w:eastAsia="en-US"/>
              </w:rPr>
              <w:t>, 201</w:t>
            </w:r>
            <w:r>
              <w:rPr>
                <w:rFonts w:ascii="Verdana" w:hAnsi="Verdana" w:cs="Arial"/>
                <w:b/>
                <w:spacing w:val="-2"/>
                <w:sz w:val="18"/>
                <w:szCs w:val="18"/>
                <w:lang w:val="fr-FR" w:eastAsia="en-US"/>
              </w:rPr>
              <w:t>7</w:t>
            </w:r>
          </w:p>
        </w:tc>
        <w:tc>
          <w:tcPr>
            <w:tcW w:w="7401" w:type="dxa"/>
            <w:tcBorders>
              <w:top w:val="double" w:sz="6" w:space="0" w:color="auto"/>
              <w:left w:val="single" w:sz="6" w:space="0" w:color="auto"/>
              <w:bottom w:val="double" w:sz="6" w:space="0" w:color="auto"/>
              <w:right w:val="double" w:sz="6" w:space="0" w:color="auto"/>
            </w:tcBorders>
          </w:tcPr>
          <w:p w:rsidR="004E38F7" w:rsidRPr="00CD5C8D" w:rsidRDefault="004E38F7" w:rsidP="001D38D3">
            <w:pPr>
              <w:tabs>
                <w:tab w:val="left" w:pos="-3531"/>
                <w:tab w:val="left" w:pos="-2681"/>
                <w:tab w:val="left" w:pos="-1830"/>
                <w:tab w:val="left" w:pos="-979"/>
                <w:tab w:val="left" w:pos="-128"/>
                <w:tab w:val="left" w:pos="23"/>
                <w:tab w:val="left" w:pos="723"/>
                <w:tab w:val="left" w:pos="1418"/>
                <w:tab w:val="left" w:pos="1573"/>
                <w:tab w:val="left" w:pos="2424"/>
                <w:tab w:val="left" w:pos="3275"/>
                <w:tab w:val="left" w:pos="4126"/>
                <w:tab w:val="left" w:pos="4977"/>
                <w:tab w:val="right" w:pos="8931"/>
              </w:tabs>
              <w:suppressAutoHyphens/>
              <w:rPr>
                <w:rFonts w:ascii="Verdana" w:hAnsi="Verdana" w:cs="Arial"/>
                <w:b/>
                <w:spacing w:val="-2"/>
                <w:sz w:val="18"/>
                <w:szCs w:val="18"/>
                <w:lang w:val="fr-FR" w:eastAsia="en-US"/>
              </w:rPr>
            </w:pPr>
            <w:r w:rsidRPr="00CD5C8D">
              <w:rPr>
                <w:rFonts w:ascii="Verdana" w:hAnsi="Verdana" w:cs="Arial"/>
                <w:b/>
                <w:spacing w:val="-2"/>
                <w:sz w:val="18"/>
                <w:szCs w:val="18"/>
                <w:lang w:val="fr-FR" w:eastAsia="en-US"/>
              </w:rPr>
              <w:t xml:space="preserve">Period 2 </w:t>
            </w:r>
          </w:p>
          <w:p w:rsidR="004E38F7" w:rsidRPr="00CD5C8D" w:rsidRDefault="004E38F7" w:rsidP="001D38D3">
            <w:pPr>
              <w:tabs>
                <w:tab w:val="left" w:pos="-3531"/>
                <w:tab w:val="left" w:pos="-2681"/>
                <w:tab w:val="left" w:pos="-1830"/>
                <w:tab w:val="left" w:pos="-979"/>
                <w:tab w:val="left" w:pos="-128"/>
                <w:tab w:val="left" w:pos="23"/>
                <w:tab w:val="left" w:pos="723"/>
                <w:tab w:val="left" w:pos="1418"/>
                <w:tab w:val="left" w:pos="1573"/>
                <w:tab w:val="left" w:pos="2424"/>
                <w:tab w:val="left" w:pos="3275"/>
                <w:tab w:val="left" w:pos="4126"/>
                <w:tab w:val="left" w:pos="4977"/>
                <w:tab w:val="right" w:pos="8931"/>
              </w:tabs>
              <w:suppressAutoHyphens/>
              <w:spacing w:before="90" w:after="54"/>
              <w:rPr>
                <w:rFonts w:ascii="Verdana" w:hAnsi="Verdana" w:cs="Arial"/>
                <w:b/>
                <w:spacing w:val="-2"/>
                <w:sz w:val="18"/>
                <w:szCs w:val="18"/>
                <w:lang w:val="fr-FR" w:eastAsia="en-US"/>
              </w:rPr>
            </w:pPr>
            <w:r w:rsidRPr="002D4751">
              <w:rPr>
                <w:rFonts w:ascii="Verdana" w:hAnsi="Verdana" w:cs="Arial"/>
                <w:b/>
                <w:spacing w:val="-2"/>
                <w:sz w:val="18"/>
                <w:szCs w:val="18"/>
                <w:lang w:val="fr-FR" w:eastAsia="en-US"/>
              </w:rPr>
              <w:t xml:space="preserve">Oct. </w:t>
            </w:r>
            <w:r>
              <w:rPr>
                <w:rFonts w:ascii="Verdana" w:hAnsi="Verdana" w:cs="Arial"/>
                <w:b/>
                <w:spacing w:val="-2"/>
                <w:sz w:val="18"/>
                <w:szCs w:val="18"/>
                <w:lang w:val="fr-FR" w:eastAsia="en-US"/>
              </w:rPr>
              <w:t>30</w:t>
            </w:r>
            <w:r w:rsidRPr="002D4751">
              <w:rPr>
                <w:rFonts w:ascii="Verdana" w:hAnsi="Verdana" w:cs="Arial"/>
                <w:b/>
                <w:spacing w:val="-2"/>
                <w:sz w:val="18"/>
                <w:szCs w:val="18"/>
                <w:lang w:val="fr-FR" w:eastAsia="en-US"/>
              </w:rPr>
              <w:t xml:space="preserve">  until Dec. </w:t>
            </w:r>
            <w:r>
              <w:rPr>
                <w:rFonts w:ascii="Verdana" w:hAnsi="Verdana" w:cs="Arial"/>
                <w:b/>
                <w:spacing w:val="-2"/>
                <w:sz w:val="18"/>
                <w:szCs w:val="18"/>
                <w:lang w:val="fr-FR" w:eastAsia="en-US"/>
              </w:rPr>
              <w:t>22</w:t>
            </w:r>
            <w:r w:rsidRPr="002D4751">
              <w:rPr>
                <w:rFonts w:ascii="Verdana" w:hAnsi="Verdana" w:cs="Arial"/>
                <w:b/>
                <w:spacing w:val="-2"/>
                <w:sz w:val="18"/>
                <w:szCs w:val="18"/>
                <w:lang w:val="fr-FR" w:eastAsia="en-US"/>
              </w:rPr>
              <w:t>, 201</w:t>
            </w:r>
            <w:r>
              <w:rPr>
                <w:rFonts w:ascii="Verdana" w:hAnsi="Verdana" w:cs="Arial"/>
                <w:b/>
                <w:spacing w:val="-2"/>
                <w:sz w:val="18"/>
                <w:szCs w:val="18"/>
                <w:lang w:val="fr-FR" w:eastAsia="en-US"/>
              </w:rPr>
              <w:t>7</w:t>
            </w:r>
          </w:p>
        </w:tc>
      </w:tr>
      <w:tr w:rsidR="004E38F7" w:rsidRPr="00AC6918">
        <w:tc>
          <w:tcPr>
            <w:tcW w:w="1255" w:type="dxa"/>
            <w:tcBorders>
              <w:top w:val="double" w:sz="6" w:space="0" w:color="auto"/>
              <w:left w:val="double" w:sz="6" w:space="0" w:color="auto"/>
              <w:bottom w:val="double" w:sz="6" w:space="0" w:color="auto"/>
              <w:right w:val="double" w:sz="6" w:space="0" w:color="auto"/>
            </w:tcBorders>
          </w:tcPr>
          <w:p w:rsidR="004E38F7" w:rsidRPr="004E38F7" w:rsidRDefault="004E38F7" w:rsidP="001D38D3">
            <w:pPr>
              <w:tabs>
                <w:tab w:val="left" w:pos="-97"/>
                <w:tab w:val="left" w:pos="23"/>
                <w:tab w:val="left" w:pos="753"/>
                <w:tab w:val="left" w:pos="1418"/>
                <w:tab w:val="left" w:pos="1604"/>
                <w:tab w:val="left" w:pos="2455"/>
                <w:tab w:val="right" w:pos="8931"/>
              </w:tabs>
              <w:suppressAutoHyphens/>
              <w:rPr>
                <w:rFonts w:ascii="Verdana" w:hAnsi="Verdana"/>
                <w:spacing w:val="-2"/>
                <w:lang w:val="en-US"/>
              </w:rPr>
            </w:pPr>
          </w:p>
          <w:p w:rsidR="004E38F7" w:rsidRPr="004E38F7" w:rsidRDefault="004E38F7" w:rsidP="001D38D3">
            <w:pPr>
              <w:tabs>
                <w:tab w:val="left" w:pos="-97"/>
                <w:tab w:val="left" w:pos="23"/>
                <w:tab w:val="left" w:pos="753"/>
                <w:tab w:val="left" w:pos="1418"/>
                <w:tab w:val="left" w:pos="1604"/>
                <w:tab w:val="left" w:pos="2455"/>
                <w:tab w:val="right" w:pos="8931"/>
              </w:tabs>
              <w:suppressAutoHyphens/>
              <w:rPr>
                <w:rFonts w:ascii="Verdana" w:hAnsi="Verdana"/>
                <w:spacing w:val="-2"/>
                <w:lang w:val="en-US"/>
              </w:rPr>
            </w:pPr>
            <w:r w:rsidRPr="004E38F7">
              <w:rPr>
                <w:rFonts w:ascii="Verdana" w:hAnsi="Verdana"/>
                <w:spacing w:val="-2"/>
                <w:lang w:val="en-US"/>
              </w:rPr>
              <w:t>master's courses</w:t>
            </w:r>
          </w:p>
          <w:p w:rsidR="004E38F7" w:rsidRPr="004E38F7" w:rsidRDefault="004E38F7" w:rsidP="001D38D3">
            <w:pPr>
              <w:tabs>
                <w:tab w:val="left" w:pos="-97"/>
                <w:tab w:val="left" w:pos="23"/>
                <w:tab w:val="left" w:pos="753"/>
                <w:tab w:val="left" w:pos="1418"/>
                <w:tab w:val="left" w:pos="1604"/>
                <w:tab w:val="left" w:pos="2455"/>
                <w:tab w:val="right" w:pos="8931"/>
              </w:tabs>
              <w:suppressAutoHyphens/>
              <w:rPr>
                <w:rFonts w:ascii="Verdana" w:hAnsi="Verdana"/>
                <w:spacing w:val="-2"/>
                <w:lang w:val="en-US"/>
              </w:rPr>
            </w:pPr>
          </w:p>
          <w:p w:rsidR="004E38F7" w:rsidRPr="004E38F7" w:rsidRDefault="004E38F7" w:rsidP="001D38D3">
            <w:pPr>
              <w:tabs>
                <w:tab w:val="left" w:pos="-97"/>
                <w:tab w:val="left" w:pos="23"/>
                <w:tab w:val="left" w:pos="753"/>
                <w:tab w:val="left" w:pos="1418"/>
                <w:tab w:val="left" w:pos="1604"/>
                <w:tab w:val="left" w:pos="2455"/>
                <w:tab w:val="right" w:pos="8931"/>
              </w:tabs>
              <w:suppressAutoHyphens/>
              <w:rPr>
                <w:rFonts w:ascii="Verdana" w:hAnsi="Verdana"/>
                <w:spacing w:val="-2"/>
                <w:lang w:val="en-US"/>
              </w:rPr>
            </w:pPr>
          </w:p>
        </w:tc>
        <w:tc>
          <w:tcPr>
            <w:tcW w:w="5945" w:type="dxa"/>
            <w:tcBorders>
              <w:top w:val="double" w:sz="6" w:space="0" w:color="auto"/>
              <w:left w:val="single" w:sz="6" w:space="0" w:color="auto"/>
              <w:bottom w:val="double" w:sz="6" w:space="0" w:color="auto"/>
              <w:right w:val="single" w:sz="6" w:space="0" w:color="auto"/>
            </w:tcBorders>
          </w:tcPr>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Advanced European law (IER4006)</w:t>
            </w:r>
          </w:p>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European Environmental Law (LAW4042)</w:t>
            </w:r>
          </w:p>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European Property Law (PRI4005)</w:t>
            </w:r>
          </w:p>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International Dispute Settlement (IER4008)</w:t>
            </w:r>
          </w:p>
          <w:p w:rsidR="004E38F7" w:rsidRPr="004E38F7" w:rsidRDefault="004E38F7" w:rsidP="001D38D3">
            <w:pPr>
              <w:pStyle w:val="Paragrafoelenco"/>
              <w:numPr>
                <w:ilvl w:val="0"/>
                <w:numId w:val="5"/>
              </w:numPr>
              <w:snapToGrid w:val="0"/>
              <w:spacing w:before="120"/>
              <w:rPr>
                <w:rFonts w:ascii="Verdana" w:hAnsi="Verdana"/>
                <w:lang w:val="en-US"/>
              </w:rPr>
            </w:pPr>
            <w:r w:rsidRPr="004E38F7">
              <w:rPr>
                <w:rFonts w:ascii="Verdana" w:hAnsi="Verdana"/>
                <w:lang w:val="en-US"/>
              </w:rPr>
              <w:t>International Trade Law (IER4002)</w:t>
            </w:r>
          </w:p>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Public International Law (IER4021)</w:t>
            </w:r>
          </w:p>
          <w:p w:rsidR="004E38F7" w:rsidRPr="004E38F7" w:rsidRDefault="004E38F7" w:rsidP="001D38D3">
            <w:pPr>
              <w:pStyle w:val="Paragrafoelenco"/>
              <w:numPr>
                <w:ilvl w:val="0"/>
                <w:numId w:val="5"/>
              </w:numPr>
              <w:snapToGrid w:val="0"/>
              <w:spacing w:before="120"/>
              <w:rPr>
                <w:rFonts w:ascii="Verdana" w:hAnsi="Verdana"/>
                <w:lang w:val="en-US"/>
              </w:rPr>
            </w:pPr>
            <w:r w:rsidRPr="004E38F7">
              <w:rPr>
                <w:rFonts w:ascii="Verdana" w:hAnsi="Verdana"/>
                <w:lang w:val="en-US"/>
              </w:rPr>
              <w:t>Psychology and Law (CRI4015)</w:t>
            </w:r>
          </w:p>
        </w:tc>
        <w:tc>
          <w:tcPr>
            <w:tcW w:w="7401" w:type="dxa"/>
            <w:tcBorders>
              <w:top w:val="double" w:sz="6" w:space="0" w:color="auto"/>
              <w:left w:val="single" w:sz="6" w:space="0" w:color="auto"/>
              <w:bottom w:val="double" w:sz="6" w:space="0" w:color="auto"/>
              <w:right w:val="double" w:sz="6" w:space="0" w:color="auto"/>
            </w:tcBorders>
          </w:tcPr>
          <w:p w:rsidR="004E38F7" w:rsidRDefault="004E38F7" w:rsidP="004E38F7">
            <w:pPr>
              <w:pStyle w:val="Paragrafoelenco"/>
              <w:spacing w:before="120"/>
              <w:ind w:left="360"/>
              <w:rPr>
                <w:rFonts w:ascii="Verdana" w:hAnsi="Verdana"/>
                <w:lang w:val="en-US"/>
              </w:rPr>
            </w:pPr>
          </w:p>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Advanced Criminal Procedure (CRI4024)</w:t>
            </w:r>
          </w:p>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Criminological Perspectives (CRI4017)</w:t>
            </w:r>
          </w:p>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European Competition Law (IER4009)</w:t>
            </w:r>
          </w:p>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European Fundamental Rights Law (IER4016)</w:t>
            </w:r>
          </w:p>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Family law in Europe (PRI4009)</w:t>
            </w:r>
          </w:p>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Global Tax Policy and Governance (TAX4014)</w:t>
            </w:r>
          </w:p>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International Commercial Dispute Resolution (IER5016)</w:t>
            </w:r>
          </w:p>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Intellectual Property Law (IER4033)</w:t>
            </w:r>
          </w:p>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International Humanitarian Law (IER4022)</w:t>
            </w:r>
          </w:p>
          <w:p w:rsidR="004E38F7" w:rsidRP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International Human Rights Law (IER4012)</w:t>
            </w:r>
          </w:p>
          <w:p w:rsidR="004E38F7" w:rsidRPr="004E38F7" w:rsidRDefault="004E38F7" w:rsidP="001D38D3">
            <w:pPr>
              <w:pStyle w:val="Paragrafoelenco"/>
              <w:numPr>
                <w:ilvl w:val="0"/>
                <w:numId w:val="5"/>
              </w:numPr>
              <w:rPr>
                <w:rFonts w:ascii="Verdana" w:hAnsi="Verdana"/>
                <w:lang w:val="en-US"/>
              </w:rPr>
            </w:pPr>
            <w:r w:rsidRPr="004E38F7">
              <w:rPr>
                <w:rFonts w:ascii="Verdana" w:hAnsi="Verdana"/>
                <w:lang w:val="en-US"/>
              </w:rPr>
              <w:t xml:space="preserve">Internal Market Law and Governance </w:t>
            </w:r>
            <w:r w:rsidRPr="004E38F7">
              <w:rPr>
                <w:rFonts w:ascii="Verdana" w:eastAsia="SimSun" w:hAnsi="Verdana" w:cs="Arial"/>
                <w:lang w:val="en-US"/>
              </w:rPr>
              <w:t>(</w:t>
            </w:r>
            <w:r w:rsidRPr="004E38F7">
              <w:rPr>
                <w:rFonts w:ascii="Verdana" w:hAnsi="Verdana"/>
                <w:lang w:val="en-US"/>
              </w:rPr>
              <w:t>IER4023)</w:t>
            </w:r>
          </w:p>
          <w:p w:rsidR="004E38F7" w:rsidRDefault="004E38F7" w:rsidP="001D38D3">
            <w:pPr>
              <w:pStyle w:val="Paragrafoelenco"/>
              <w:numPr>
                <w:ilvl w:val="0"/>
                <w:numId w:val="5"/>
              </w:numPr>
              <w:spacing w:before="120"/>
              <w:rPr>
                <w:rFonts w:ascii="Verdana" w:hAnsi="Verdana"/>
                <w:lang w:val="en-US"/>
              </w:rPr>
            </w:pPr>
            <w:r w:rsidRPr="004E38F7">
              <w:rPr>
                <w:rFonts w:ascii="Verdana" w:hAnsi="Verdana"/>
                <w:lang w:val="en-US"/>
              </w:rPr>
              <w:t>Law and Economics (LAW4006)</w:t>
            </w:r>
          </w:p>
          <w:p w:rsidR="004E38F7" w:rsidRPr="004E38F7" w:rsidRDefault="004E38F7" w:rsidP="004E38F7">
            <w:pPr>
              <w:pStyle w:val="Paragrafoelenco"/>
              <w:spacing w:before="120"/>
              <w:ind w:left="360"/>
              <w:rPr>
                <w:rFonts w:ascii="Verdana" w:hAnsi="Verdana"/>
                <w:lang w:val="en-US"/>
              </w:rPr>
            </w:pPr>
          </w:p>
        </w:tc>
      </w:tr>
      <w:tr w:rsidR="004E38F7" w:rsidRPr="003F1683">
        <w:tc>
          <w:tcPr>
            <w:tcW w:w="1255" w:type="dxa"/>
            <w:tcBorders>
              <w:top w:val="double" w:sz="6" w:space="0" w:color="auto"/>
              <w:left w:val="double" w:sz="6" w:space="0" w:color="auto"/>
              <w:bottom w:val="double" w:sz="6" w:space="0" w:color="auto"/>
              <w:right w:val="double" w:sz="6" w:space="0" w:color="auto"/>
            </w:tcBorders>
          </w:tcPr>
          <w:p w:rsidR="004E38F7" w:rsidRPr="004E38F7" w:rsidRDefault="004E38F7" w:rsidP="001D38D3">
            <w:pPr>
              <w:rPr>
                <w:rFonts w:ascii="Verdana" w:hAnsi="Verdana" w:cs="Arial"/>
                <w:b/>
                <w:spacing w:val="-2"/>
                <w:lang w:val="en-US" w:eastAsia="en-US"/>
              </w:rPr>
            </w:pPr>
          </w:p>
          <w:p w:rsidR="004E38F7" w:rsidRPr="004E38F7" w:rsidRDefault="004E38F7" w:rsidP="001D38D3">
            <w:pPr>
              <w:rPr>
                <w:rFonts w:ascii="Verdana" w:hAnsi="Verdana" w:cs="Arial"/>
                <w:b/>
                <w:spacing w:val="-2"/>
                <w:lang w:val="en-US" w:eastAsia="en-US"/>
              </w:rPr>
            </w:pPr>
          </w:p>
        </w:tc>
        <w:tc>
          <w:tcPr>
            <w:tcW w:w="5945" w:type="dxa"/>
            <w:tcBorders>
              <w:top w:val="double" w:sz="6" w:space="0" w:color="auto"/>
              <w:left w:val="single" w:sz="6" w:space="0" w:color="auto"/>
              <w:bottom w:val="double" w:sz="6" w:space="0" w:color="auto"/>
              <w:right w:val="single" w:sz="6" w:space="0" w:color="auto"/>
            </w:tcBorders>
          </w:tcPr>
          <w:p w:rsidR="004E38F7" w:rsidRPr="004E38F7" w:rsidRDefault="004E38F7" w:rsidP="001D38D3">
            <w:pPr>
              <w:jc w:val="both"/>
              <w:rPr>
                <w:rFonts w:ascii="Verdana" w:hAnsi="Verdana" w:cs="Arial"/>
                <w:b/>
                <w:lang w:val="en-GB" w:eastAsia="en-US"/>
              </w:rPr>
            </w:pPr>
            <w:r w:rsidRPr="004E38F7">
              <w:rPr>
                <w:rFonts w:ascii="Verdana" w:hAnsi="Verdana" w:cs="Arial"/>
                <w:b/>
                <w:lang w:val="en-GB" w:eastAsia="en-US"/>
              </w:rPr>
              <w:t>Examinations:</w:t>
            </w:r>
          </w:p>
          <w:p w:rsidR="004E38F7" w:rsidRPr="004E38F7" w:rsidRDefault="004E38F7" w:rsidP="001D38D3">
            <w:pPr>
              <w:keepNext/>
              <w:tabs>
                <w:tab w:val="left" w:pos="3402"/>
                <w:tab w:val="left" w:pos="4820"/>
                <w:tab w:val="left" w:pos="8080"/>
              </w:tabs>
              <w:outlineLvl w:val="1"/>
              <w:rPr>
                <w:rFonts w:ascii="Verdana" w:hAnsi="Verdana" w:cs="Arial"/>
                <w:iCs/>
                <w:lang w:val="en-US" w:eastAsia="en-US"/>
              </w:rPr>
            </w:pPr>
            <w:r w:rsidRPr="004E38F7">
              <w:rPr>
                <w:rFonts w:ascii="Verdana" w:hAnsi="Verdana" w:cs="Arial"/>
                <w:iCs/>
                <w:lang w:val="en-US" w:eastAsia="en-US"/>
              </w:rPr>
              <w:t>Week of October 23</w:t>
            </w:r>
          </w:p>
          <w:p w:rsidR="004E38F7" w:rsidRPr="004E38F7" w:rsidRDefault="004E38F7" w:rsidP="001D38D3">
            <w:pPr>
              <w:rPr>
                <w:rFonts w:ascii="Verdana" w:hAnsi="Verdana" w:cs="Arial"/>
                <w:iCs/>
                <w:lang w:val="en-US" w:eastAsia="en-US"/>
              </w:rPr>
            </w:pPr>
            <w:r w:rsidRPr="004E38F7">
              <w:rPr>
                <w:rFonts w:ascii="Verdana" w:hAnsi="Verdana" w:cs="Arial"/>
                <w:iCs/>
                <w:lang w:val="en-US" w:eastAsia="en-US"/>
              </w:rPr>
              <w:t>Resit: week of January 29</w:t>
            </w:r>
          </w:p>
          <w:p w:rsidR="004E38F7" w:rsidRPr="004E38F7" w:rsidRDefault="004E38F7" w:rsidP="001D38D3">
            <w:pPr>
              <w:rPr>
                <w:rFonts w:ascii="Verdana" w:hAnsi="Verdana" w:cs="Arial"/>
                <w:b/>
                <w:lang w:val="en-US" w:eastAsia="en-US"/>
              </w:rPr>
            </w:pPr>
          </w:p>
          <w:p w:rsidR="004E38F7" w:rsidRPr="004E38F7" w:rsidRDefault="004E38F7" w:rsidP="001D38D3">
            <w:pPr>
              <w:rPr>
                <w:rFonts w:ascii="Verdana" w:hAnsi="Verdana" w:cs="Arial"/>
                <w:b/>
                <w:lang w:val="en-GB" w:eastAsia="en-US"/>
              </w:rPr>
            </w:pPr>
          </w:p>
          <w:p w:rsidR="004E38F7" w:rsidRPr="004E38F7" w:rsidRDefault="004E38F7" w:rsidP="001D38D3">
            <w:pPr>
              <w:rPr>
                <w:rFonts w:ascii="Verdana" w:hAnsi="Verdana" w:cs="Arial"/>
                <w:b/>
                <w:lang w:val="en-GB" w:eastAsia="en-US"/>
              </w:rPr>
            </w:pPr>
          </w:p>
        </w:tc>
        <w:tc>
          <w:tcPr>
            <w:tcW w:w="7401" w:type="dxa"/>
            <w:tcBorders>
              <w:top w:val="double" w:sz="6" w:space="0" w:color="auto"/>
              <w:left w:val="single" w:sz="6" w:space="0" w:color="auto"/>
              <w:bottom w:val="double" w:sz="6" w:space="0" w:color="auto"/>
              <w:right w:val="double" w:sz="6" w:space="0" w:color="auto"/>
            </w:tcBorders>
          </w:tcPr>
          <w:p w:rsidR="004E38F7" w:rsidRPr="004E38F7" w:rsidRDefault="004E38F7" w:rsidP="001D38D3">
            <w:pPr>
              <w:rPr>
                <w:rFonts w:ascii="Verdana" w:hAnsi="Verdana" w:cs="Arial"/>
                <w:b/>
                <w:lang w:val="en-GB" w:eastAsia="en-US"/>
              </w:rPr>
            </w:pPr>
            <w:r w:rsidRPr="004E38F7">
              <w:rPr>
                <w:rFonts w:ascii="Verdana" w:hAnsi="Verdana" w:cs="Arial"/>
                <w:b/>
                <w:lang w:val="en-GB" w:eastAsia="en-US"/>
              </w:rPr>
              <w:t>Examinations:</w:t>
            </w:r>
          </w:p>
          <w:p w:rsidR="004E38F7" w:rsidRPr="004E38F7" w:rsidRDefault="004E38F7" w:rsidP="001D38D3">
            <w:pPr>
              <w:rPr>
                <w:rFonts w:ascii="Verdana" w:hAnsi="Verdana" w:cs="Arial"/>
                <w:lang w:val="en-GB" w:eastAsia="en-US"/>
              </w:rPr>
            </w:pPr>
            <w:r w:rsidRPr="004E38F7">
              <w:rPr>
                <w:rFonts w:ascii="Verdana" w:hAnsi="Verdana" w:cs="Arial"/>
                <w:lang w:val="en-GB" w:eastAsia="en-US"/>
              </w:rPr>
              <w:t>Week of  December 18</w:t>
            </w:r>
          </w:p>
          <w:p w:rsidR="004E38F7" w:rsidRPr="004E38F7" w:rsidRDefault="004E38F7" w:rsidP="001D38D3">
            <w:pPr>
              <w:tabs>
                <w:tab w:val="left" w:pos="-5617"/>
                <w:tab w:val="left" w:pos="-4767"/>
                <w:tab w:val="left" w:pos="-3916"/>
                <w:tab w:val="left" w:pos="-3065"/>
                <w:tab w:val="left" w:pos="-2214"/>
                <w:tab w:val="left" w:pos="-1363"/>
                <w:tab w:val="left" w:pos="-513"/>
                <w:tab w:val="left" w:pos="23"/>
                <w:tab w:val="left" w:pos="338"/>
                <w:tab w:val="left" w:pos="1189"/>
                <w:tab w:val="left" w:pos="1418"/>
                <w:tab w:val="left" w:pos="2040"/>
                <w:tab w:val="left" w:pos="2891"/>
                <w:tab w:val="right" w:pos="8931"/>
              </w:tabs>
              <w:suppressAutoHyphens/>
              <w:spacing w:after="54" w:line="80" w:lineRule="atLeast"/>
              <w:rPr>
                <w:rFonts w:ascii="Verdana" w:hAnsi="Verdana"/>
                <w:spacing w:val="-2"/>
                <w:lang w:val="en-US"/>
              </w:rPr>
            </w:pPr>
            <w:r w:rsidRPr="004E38F7">
              <w:rPr>
                <w:rFonts w:ascii="Verdana" w:hAnsi="Verdana"/>
                <w:spacing w:val="-2"/>
                <w:lang w:val="en-US"/>
              </w:rPr>
              <w:t>Resit: week of April 9</w:t>
            </w:r>
          </w:p>
          <w:p w:rsidR="004E38F7" w:rsidRPr="004E38F7" w:rsidRDefault="004E38F7" w:rsidP="001D38D3">
            <w:pPr>
              <w:tabs>
                <w:tab w:val="left" w:pos="-5617"/>
                <w:tab w:val="left" w:pos="-4767"/>
                <w:tab w:val="left" w:pos="-3916"/>
                <w:tab w:val="left" w:pos="-3065"/>
                <w:tab w:val="left" w:pos="-2214"/>
                <w:tab w:val="left" w:pos="-1363"/>
                <w:tab w:val="left" w:pos="-513"/>
                <w:tab w:val="left" w:pos="23"/>
                <w:tab w:val="left" w:pos="338"/>
                <w:tab w:val="left" w:pos="1189"/>
                <w:tab w:val="left" w:pos="1418"/>
                <w:tab w:val="left" w:pos="2040"/>
                <w:tab w:val="left" w:pos="2891"/>
                <w:tab w:val="right" w:pos="8931"/>
              </w:tabs>
              <w:suppressAutoHyphens/>
              <w:spacing w:after="54" w:line="80" w:lineRule="atLeast"/>
              <w:rPr>
                <w:rFonts w:ascii="Verdana" w:hAnsi="Verdana"/>
                <w:b/>
                <w:spacing w:val="-2"/>
                <w:lang w:val="en-US"/>
              </w:rPr>
            </w:pPr>
          </w:p>
          <w:p w:rsidR="004E38F7" w:rsidRPr="004E38F7" w:rsidRDefault="004E38F7" w:rsidP="001D38D3">
            <w:pPr>
              <w:tabs>
                <w:tab w:val="left" w:pos="-5617"/>
                <w:tab w:val="left" w:pos="-4767"/>
                <w:tab w:val="left" w:pos="-3916"/>
                <w:tab w:val="left" w:pos="-3065"/>
                <w:tab w:val="left" w:pos="-2214"/>
                <w:tab w:val="left" w:pos="-1363"/>
                <w:tab w:val="left" w:pos="-513"/>
                <w:tab w:val="left" w:pos="23"/>
                <w:tab w:val="left" w:pos="338"/>
                <w:tab w:val="left" w:pos="1189"/>
                <w:tab w:val="left" w:pos="1418"/>
                <w:tab w:val="left" w:pos="2040"/>
                <w:tab w:val="left" w:pos="2891"/>
                <w:tab w:val="right" w:pos="8931"/>
              </w:tabs>
              <w:suppressAutoHyphens/>
              <w:spacing w:after="54" w:line="80" w:lineRule="atLeast"/>
              <w:rPr>
                <w:rFonts w:ascii="Verdana" w:hAnsi="Verdana"/>
                <w:b/>
                <w:spacing w:val="-2"/>
                <w:lang w:val="en-US"/>
              </w:rPr>
            </w:pPr>
            <w:r w:rsidRPr="004E38F7">
              <w:rPr>
                <w:rFonts w:ascii="Verdana" w:hAnsi="Verdana"/>
                <w:b/>
                <w:spacing w:val="-2"/>
                <w:lang w:val="en-US"/>
              </w:rPr>
              <w:t xml:space="preserve">Holidays:              </w:t>
            </w:r>
            <w:r w:rsidRPr="004E38F7">
              <w:rPr>
                <w:rFonts w:ascii="Verdana" w:hAnsi="Verdana"/>
                <w:b/>
                <w:spacing w:val="-2"/>
                <w:lang w:val="en-US"/>
              </w:rPr>
              <w:br/>
            </w:r>
            <w:r w:rsidRPr="004E38F7">
              <w:rPr>
                <w:rFonts w:ascii="Verdana" w:hAnsi="Verdana" w:cs="Arial"/>
                <w:lang w:val="en-GB" w:eastAsia="en-US"/>
              </w:rPr>
              <w:t>Week of December 25</w:t>
            </w:r>
            <w:r w:rsidRPr="004E38F7">
              <w:rPr>
                <w:rFonts w:ascii="Verdana" w:hAnsi="Verdana"/>
                <w:b/>
                <w:spacing w:val="-2"/>
                <w:lang w:val="en-US"/>
              </w:rPr>
              <w:br/>
            </w:r>
            <w:r w:rsidRPr="004E38F7">
              <w:rPr>
                <w:rFonts w:ascii="Verdana" w:hAnsi="Verdana" w:cs="Arial"/>
                <w:lang w:val="en-GB" w:eastAsia="en-US"/>
              </w:rPr>
              <w:t>Week of January 1</w:t>
            </w:r>
          </w:p>
        </w:tc>
      </w:tr>
    </w:tbl>
    <w:p w:rsidR="00253E57" w:rsidRPr="00AC6918" w:rsidRDefault="00253E57" w:rsidP="00D164B8">
      <w:pPr>
        <w:tabs>
          <w:tab w:val="left" w:pos="23"/>
          <w:tab w:val="left" w:pos="1418"/>
        </w:tabs>
        <w:suppressAutoHyphens/>
        <w:rPr>
          <w:rFonts w:ascii="Verdana" w:hAnsi="Verdana" w:cs="Arial"/>
          <w:b/>
          <w:sz w:val="18"/>
          <w:szCs w:val="18"/>
          <w:lang w:val="en-US"/>
        </w:rPr>
      </w:pPr>
    </w:p>
    <w:p w:rsidR="00AE65D8" w:rsidRPr="006B2161" w:rsidRDefault="00AE65D8" w:rsidP="00AE65D8">
      <w:pPr>
        <w:tabs>
          <w:tab w:val="left" w:pos="284"/>
        </w:tabs>
        <w:rPr>
          <w:rFonts w:ascii="Verdana" w:hAnsi="Verdana"/>
          <w:spacing w:val="-2"/>
          <w:sz w:val="16"/>
          <w:szCs w:val="16"/>
          <w:lang w:val="en-US"/>
        </w:rPr>
      </w:pPr>
      <w:r w:rsidRPr="006B2161">
        <w:rPr>
          <w:rFonts w:ascii="Verdana" w:hAnsi="Verdana"/>
          <w:spacing w:val="-2"/>
          <w:sz w:val="16"/>
          <w:szCs w:val="16"/>
          <w:lang w:val="en-US"/>
        </w:rPr>
        <w:t>Courses are 6</w:t>
      </w:r>
      <w:r w:rsidRPr="006B2161">
        <w:rPr>
          <w:rFonts w:ascii="Verdana" w:hAnsi="Verdana"/>
          <w:b/>
          <w:spacing w:val="-2"/>
          <w:sz w:val="16"/>
          <w:szCs w:val="16"/>
          <w:lang w:val="en-US"/>
        </w:rPr>
        <w:t xml:space="preserve"> </w:t>
      </w:r>
      <w:r w:rsidRPr="006B2161">
        <w:rPr>
          <w:rFonts w:ascii="Verdana" w:hAnsi="Verdana"/>
          <w:spacing w:val="-2"/>
          <w:sz w:val="16"/>
          <w:szCs w:val="16"/>
          <w:lang w:val="en-US"/>
        </w:rPr>
        <w:t>ECTS each</w:t>
      </w:r>
      <w:r w:rsidR="006E130F" w:rsidRPr="006B2161">
        <w:rPr>
          <w:rFonts w:ascii="Verdana" w:hAnsi="Verdana"/>
          <w:spacing w:val="-2"/>
          <w:sz w:val="16"/>
          <w:szCs w:val="16"/>
          <w:lang w:val="en-US"/>
        </w:rPr>
        <w:t>.</w:t>
      </w:r>
    </w:p>
    <w:p w:rsidR="00E56230" w:rsidRPr="006B2161" w:rsidRDefault="00E56230" w:rsidP="00AE65D8">
      <w:pPr>
        <w:tabs>
          <w:tab w:val="left" w:pos="284"/>
        </w:tabs>
        <w:rPr>
          <w:rFonts w:ascii="Verdana" w:hAnsi="Verdana"/>
          <w:spacing w:val="-2"/>
          <w:sz w:val="16"/>
          <w:szCs w:val="16"/>
          <w:lang w:val="en-US"/>
        </w:rPr>
      </w:pPr>
    </w:p>
    <w:p w:rsidR="002553BB" w:rsidRPr="006B2161" w:rsidRDefault="00AE65D8" w:rsidP="00AE65D8">
      <w:pPr>
        <w:tabs>
          <w:tab w:val="left" w:pos="284"/>
        </w:tabs>
        <w:rPr>
          <w:rFonts w:ascii="Verdana" w:hAnsi="Verdana"/>
          <w:spacing w:val="-2"/>
          <w:sz w:val="16"/>
          <w:szCs w:val="16"/>
          <w:lang w:val="en-US"/>
        </w:rPr>
      </w:pPr>
      <w:r w:rsidRPr="006B2161">
        <w:rPr>
          <w:rFonts w:ascii="Verdana" w:hAnsi="Verdana"/>
          <w:spacing w:val="-2"/>
          <w:sz w:val="16"/>
          <w:szCs w:val="16"/>
          <w:lang w:val="en-US"/>
        </w:rPr>
        <w:t xml:space="preserve">THEMIS students have to take 30 credits, </w:t>
      </w:r>
      <w:r w:rsidR="00E56230" w:rsidRPr="006B2161">
        <w:rPr>
          <w:rFonts w:ascii="Verdana" w:hAnsi="Verdana"/>
          <w:spacing w:val="-2"/>
          <w:sz w:val="16"/>
          <w:szCs w:val="16"/>
          <w:lang w:val="en-US"/>
        </w:rPr>
        <w:t>so they will have to enroll in five</w:t>
      </w:r>
      <w:r w:rsidRPr="006B2161">
        <w:rPr>
          <w:rFonts w:ascii="Verdana" w:hAnsi="Verdana"/>
          <w:spacing w:val="-2"/>
          <w:sz w:val="16"/>
          <w:szCs w:val="16"/>
          <w:lang w:val="en-US"/>
        </w:rPr>
        <w:t xml:space="preserve"> courses, two in one period, three in the other. </w:t>
      </w:r>
    </w:p>
    <w:p w:rsidR="00E56230" w:rsidRPr="006B2161" w:rsidRDefault="00E56230" w:rsidP="00AE65D8">
      <w:pPr>
        <w:tabs>
          <w:tab w:val="left" w:pos="284"/>
        </w:tabs>
        <w:rPr>
          <w:rFonts w:ascii="Verdana" w:hAnsi="Verdana"/>
          <w:spacing w:val="-2"/>
          <w:sz w:val="16"/>
          <w:szCs w:val="16"/>
          <w:lang w:val="en-US"/>
        </w:rPr>
      </w:pPr>
      <w:r w:rsidRPr="006B2161">
        <w:rPr>
          <w:rFonts w:ascii="Verdana" w:hAnsi="Verdana"/>
          <w:spacing w:val="-2"/>
          <w:sz w:val="16"/>
          <w:szCs w:val="16"/>
          <w:lang w:val="en-US"/>
        </w:rPr>
        <w:t xml:space="preserve">In specific cases a THEMIS student can be accepted for the second semester. In that case the student has to choose from the English taught master's courses offered for exchange students in periods four and five – see </w:t>
      </w:r>
      <w:r w:rsidR="002553BB" w:rsidRPr="006B2161">
        <w:rPr>
          <w:rFonts w:ascii="Verdana" w:hAnsi="Verdana"/>
          <w:spacing w:val="-2"/>
          <w:sz w:val="16"/>
          <w:szCs w:val="16"/>
          <w:lang w:val="en-US"/>
        </w:rPr>
        <w:t>complete</w:t>
      </w:r>
      <w:r w:rsidRPr="006B2161">
        <w:rPr>
          <w:rFonts w:ascii="Verdana" w:hAnsi="Verdana"/>
          <w:spacing w:val="-2"/>
          <w:sz w:val="16"/>
          <w:szCs w:val="16"/>
          <w:lang w:val="en-US"/>
        </w:rPr>
        <w:t xml:space="preserve"> list of courses for exchange students. </w:t>
      </w:r>
    </w:p>
    <w:p w:rsidR="00303B4D" w:rsidRDefault="00303B4D" w:rsidP="00303B4D">
      <w:pPr>
        <w:rPr>
          <w:rFonts w:ascii="Verdana" w:hAnsi="Verdana"/>
          <w:spacing w:val="-2"/>
          <w:sz w:val="16"/>
          <w:szCs w:val="16"/>
          <w:lang w:val="en-US"/>
        </w:rPr>
      </w:pPr>
    </w:p>
    <w:p w:rsidR="00303B4D" w:rsidRDefault="00303B4D" w:rsidP="00303B4D">
      <w:pPr>
        <w:rPr>
          <w:rFonts w:ascii="Verdana" w:hAnsi="Verdana"/>
          <w:spacing w:val="-2"/>
          <w:sz w:val="16"/>
          <w:szCs w:val="16"/>
          <w:lang w:val="en-US"/>
        </w:rPr>
      </w:pPr>
    </w:p>
    <w:p w:rsidR="00757AE1" w:rsidRPr="006B2161" w:rsidRDefault="00AC6918" w:rsidP="00303B4D">
      <w:pPr>
        <w:rPr>
          <w:rFonts w:ascii="Verdana" w:hAnsi="Verdana"/>
          <w:sz w:val="16"/>
          <w:szCs w:val="16"/>
          <w:lang w:val="en-US"/>
        </w:rPr>
      </w:pPr>
      <w:r w:rsidRPr="006B2161">
        <w:rPr>
          <w:rFonts w:ascii="Verdana" w:hAnsi="Verdana"/>
          <w:b/>
          <w:sz w:val="16"/>
          <w:szCs w:val="16"/>
          <w:lang w:val="en-US"/>
        </w:rPr>
        <w:t>No rights may be derived from this memorandum</w:t>
      </w:r>
      <w:r w:rsidRPr="006B2161">
        <w:rPr>
          <w:rFonts w:ascii="Verdana" w:hAnsi="Verdana"/>
          <w:sz w:val="16"/>
          <w:szCs w:val="16"/>
          <w:lang w:val="en-US"/>
        </w:rPr>
        <w:t>.</w:t>
      </w:r>
      <w:r w:rsidRPr="006B2161">
        <w:rPr>
          <w:rFonts w:ascii="Verdana" w:hAnsi="Verdana"/>
          <w:sz w:val="16"/>
          <w:szCs w:val="16"/>
          <w:lang w:val="en-US"/>
        </w:rPr>
        <w:tab/>
      </w:r>
      <w:r w:rsidRPr="006B2161">
        <w:rPr>
          <w:rFonts w:ascii="Verdana" w:hAnsi="Verdana"/>
          <w:sz w:val="16"/>
          <w:szCs w:val="16"/>
          <w:lang w:val="en-US"/>
        </w:rPr>
        <w:tab/>
      </w:r>
      <w:r w:rsidRPr="006B2161">
        <w:rPr>
          <w:rFonts w:ascii="Verdana" w:hAnsi="Verdana"/>
          <w:sz w:val="16"/>
          <w:szCs w:val="16"/>
          <w:lang w:val="en-US"/>
        </w:rPr>
        <w:tab/>
      </w:r>
      <w:r w:rsidRPr="006B2161">
        <w:rPr>
          <w:rFonts w:ascii="Verdana" w:hAnsi="Verdana"/>
          <w:sz w:val="16"/>
          <w:szCs w:val="16"/>
          <w:lang w:val="en-US"/>
        </w:rPr>
        <w:tab/>
      </w:r>
      <w:r w:rsidRPr="006B2161">
        <w:rPr>
          <w:rFonts w:ascii="Verdana" w:hAnsi="Verdana"/>
          <w:sz w:val="16"/>
          <w:szCs w:val="16"/>
          <w:lang w:val="en-US"/>
        </w:rPr>
        <w:tab/>
      </w:r>
      <w:r w:rsidRPr="006B2161">
        <w:rPr>
          <w:rFonts w:ascii="Verdana" w:hAnsi="Verdana"/>
          <w:sz w:val="16"/>
          <w:szCs w:val="16"/>
          <w:lang w:val="en-US"/>
        </w:rPr>
        <w:tab/>
      </w:r>
      <w:r w:rsidRPr="006B2161">
        <w:rPr>
          <w:rFonts w:ascii="Verdana" w:hAnsi="Verdana"/>
          <w:sz w:val="16"/>
          <w:szCs w:val="16"/>
          <w:lang w:val="en-US"/>
        </w:rPr>
        <w:tab/>
      </w:r>
      <w:r w:rsidRPr="006B2161">
        <w:rPr>
          <w:rFonts w:ascii="Verdana" w:hAnsi="Verdana"/>
          <w:sz w:val="16"/>
          <w:szCs w:val="16"/>
          <w:lang w:val="en-US"/>
        </w:rPr>
        <w:tab/>
      </w:r>
      <w:r w:rsidRPr="006B2161">
        <w:rPr>
          <w:rFonts w:ascii="Verdana" w:hAnsi="Verdana"/>
          <w:sz w:val="16"/>
          <w:szCs w:val="16"/>
          <w:lang w:val="en-US"/>
        </w:rPr>
        <w:tab/>
      </w:r>
      <w:r w:rsidRPr="006B2161">
        <w:rPr>
          <w:rFonts w:ascii="Verdana" w:hAnsi="Verdana"/>
          <w:sz w:val="16"/>
          <w:szCs w:val="16"/>
          <w:lang w:val="en-US"/>
        </w:rPr>
        <w:tab/>
      </w:r>
      <w:r w:rsidR="00303B4D">
        <w:rPr>
          <w:rFonts w:ascii="Verdana" w:hAnsi="Verdana"/>
          <w:sz w:val="16"/>
          <w:szCs w:val="16"/>
          <w:lang w:val="en-US"/>
        </w:rPr>
        <w:tab/>
      </w:r>
      <w:r w:rsidR="00303B4D">
        <w:rPr>
          <w:rFonts w:ascii="Verdana" w:hAnsi="Verdana"/>
          <w:sz w:val="16"/>
          <w:szCs w:val="16"/>
          <w:lang w:val="en-US"/>
        </w:rPr>
        <w:tab/>
        <w:t xml:space="preserve">      </w:t>
      </w:r>
      <w:r w:rsidR="004E38F7">
        <w:rPr>
          <w:rFonts w:ascii="Verdana" w:hAnsi="Verdana"/>
          <w:sz w:val="16"/>
          <w:szCs w:val="16"/>
          <w:lang w:val="en-US"/>
        </w:rPr>
        <w:t>April 2017</w:t>
      </w:r>
    </w:p>
    <w:sectPr w:rsidR="00757AE1" w:rsidRPr="006B2161" w:rsidSect="006C005E">
      <w:footerReference w:type="even" r:id="rId9"/>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0F" w:rsidRDefault="0000190F">
      <w:r>
        <w:separator/>
      </w:r>
    </w:p>
  </w:endnote>
  <w:endnote w:type="continuationSeparator" w:id="0">
    <w:p w:rsidR="0000190F" w:rsidRDefault="0000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erifCorrespondence">
    <w:altName w:val="Times New Roman"/>
    <w:charset w:val="00"/>
    <w:family w:val="auto"/>
    <w:pitch w:val="variable"/>
    <w:sig w:usb0="A00000A7" w:usb1="00000040" w:usb2="00000000" w:usb3="00000000" w:csb0="000001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62" w:rsidRDefault="00FE70EB" w:rsidP="004D1441">
    <w:pPr>
      <w:pStyle w:val="Pidipagina"/>
      <w:framePr w:wrap="around" w:vAnchor="text" w:hAnchor="margin" w:xAlign="center" w:y="1"/>
      <w:rPr>
        <w:rStyle w:val="Numeropagina"/>
      </w:rPr>
    </w:pPr>
    <w:r>
      <w:rPr>
        <w:rStyle w:val="Numeropagina"/>
      </w:rPr>
      <w:fldChar w:fldCharType="begin"/>
    </w:r>
    <w:r w:rsidR="00A21262">
      <w:rPr>
        <w:rStyle w:val="Numeropagina"/>
      </w:rPr>
      <w:instrText xml:space="preserve">PAGE  </w:instrText>
    </w:r>
    <w:r>
      <w:rPr>
        <w:rStyle w:val="Numeropagina"/>
      </w:rPr>
      <w:fldChar w:fldCharType="end"/>
    </w:r>
  </w:p>
  <w:p w:rsidR="00A21262" w:rsidRDefault="00A212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0F" w:rsidRDefault="0000190F">
      <w:r>
        <w:separator/>
      </w:r>
    </w:p>
  </w:footnote>
  <w:footnote w:type="continuationSeparator" w:id="0">
    <w:p w:rsidR="0000190F" w:rsidRDefault="00001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7CD"/>
    <w:multiLevelType w:val="hybridMultilevel"/>
    <w:tmpl w:val="E660A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C72F8"/>
    <w:multiLevelType w:val="hybridMultilevel"/>
    <w:tmpl w:val="EBD033F6"/>
    <w:lvl w:ilvl="0" w:tplc="0409000B">
      <w:start w:val="1"/>
      <w:numFmt w:val="bullet"/>
      <w:lvlText w:val=""/>
      <w:lvlJc w:val="left"/>
      <w:pPr>
        <w:tabs>
          <w:tab w:val="num" w:pos="717"/>
        </w:tabs>
        <w:ind w:left="717" w:hanging="360"/>
      </w:pPr>
      <w:rPr>
        <w:rFonts w:ascii="Wingdings" w:hAnsi="Wingdings"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0B171002"/>
    <w:multiLevelType w:val="hybridMultilevel"/>
    <w:tmpl w:val="C4324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29E18B9"/>
    <w:multiLevelType w:val="hybridMultilevel"/>
    <w:tmpl w:val="8DA2F0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8B91F6A"/>
    <w:multiLevelType w:val="hybridMultilevel"/>
    <w:tmpl w:val="A0D461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4F"/>
    <w:rsid w:val="0000190F"/>
    <w:rsid w:val="00007188"/>
    <w:rsid w:val="000131DE"/>
    <w:rsid w:val="00025777"/>
    <w:rsid w:val="00052F1B"/>
    <w:rsid w:val="000563D6"/>
    <w:rsid w:val="00082D4B"/>
    <w:rsid w:val="00090162"/>
    <w:rsid w:val="00092FC0"/>
    <w:rsid w:val="000B273A"/>
    <w:rsid w:val="000C2050"/>
    <w:rsid w:val="000C6E3C"/>
    <w:rsid w:val="00107725"/>
    <w:rsid w:val="0011145C"/>
    <w:rsid w:val="00113DBB"/>
    <w:rsid w:val="0011454F"/>
    <w:rsid w:val="00127B4E"/>
    <w:rsid w:val="00134E53"/>
    <w:rsid w:val="00163077"/>
    <w:rsid w:val="0017139A"/>
    <w:rsid w:val="00181B7C"/>
    <w:rsid w:val="001835DC"/>
    <w:rsid w:val="0018602A"/>
    <w:rsid w:val="001B4128"/>
    <w:rsid w:val="001C5888"/>
    <w:rsid w:val="001E0947"/>
    <w:rsid w:val="00222688"/>
    <w:rsid w:val="00247857"/>
    <w:rsid w:val="00253E57"/>
    <w:rsid w:val="002553BB"/>
    <w:rsid w:val="00266D72"/>
    <w:rsid w:val="002828C7"/>
    <w:rsid w:val="00303B4D"/>
    <w:rsid w:val="00304CD1"/>
    <w:rsid w:val="0031281D"/>
    <w:rsid w:val="00322D32"/>
    <w:rsid w:val="00352B2C"/>
    <w:rsid w:val="0036505C"/>
    <w:rsid w:val="00387C8D"/>
    <w:rsid w:val="003B230D"/>
    <w:rsid w:val="003E7E21"/>
    <w:rsid w:val="003F1683"/>
    <w:rsid w:val="00413471"/>
    <w:rsid w:val="00445163"/>
    <w:rsid w:val="00494F64"/>
    <w:rsid w:val="004A51CC"/>
    <w:rsid w:val="004A59A2"/>
    <w:rsid w:val="004B2EE6"/>
    <w:rsid w:val="004C7BF2"/>
    <w:rsid w:val="004D1441"/>
    <w:rsid w:val="004E199E"/>
    <w:rsid w:val="004E38F7"/>
    <w:rsid w:val="0050665C"/>
    <w:rsid w:val="00540734"/>
    <w:rsid w:val="00542B5B"/>
    <w:rsid w:val="00553F57"/>
    <w:rsid w:val="005860C0"/>
    <w:rsid w:val="00592563"/>
    <w:rsid w:val="00595781"/>
    <w:rsid w:val="005A2FC1"/>
    <w:rsid w:val="005C5395"/>
    <w:rsid w:val="005D2EBF"/>
    <w:rsid w:val="005D5330"/>
    <w:rsid w:val="00602A35"/>
    <w:rsid w:val="00622DE7"/>
    <w:rsid w:val="00640886"/>
    <w:rsid w:val="00671CBE"/>
    <w:rsid w:val="00671F63"/>
    <w:rsid w:val="00691973"/>
    <w:rsid w:val="006A0068"/>
    <w:rsid w:val="006B2161"/>
    <w:rsid w:val="006C005E"/>
    <w:rsid w:val="006D1CA3"/>
    <w:rsid w:val="006E0914"/>
    <w:rsid w:val="006E130F"/>
    <w:rsid w:val="00713E73"/>
    <w:rsid w:val="00723359"/>
    <w:rsid w:val="0073269E"/>
    <w:rsid w:val="00757AE1"/>
    <w:rsid w:val="00786015"/>
    <w:rsid w:val="0079066F"/>
    <w:rsid w:val="007B1134"/>
    <w:rsid w:val="007B6527"/>
    <w:rsid w:val="007F781E"/>
    <w:rsid w:val="00801434"/>
    <w:rsid w:val="008039EE"/>
    <w:rsid w:val="008051DB"/>
    <w:rsid w:val="008104E8"/>
    <w:rsid w:val="00813771"/>
    <w:rsid w:val="00840DFC"/>
    <w:rsid w:val="00845F51"/>
    <w:rsid w:val="00853D1F"/>
    <w:rsid w:val="008567BC"/>
    <w:rsid w:val="008619DA"/>
    <w:rsid w:val="00883FF5"/>
    <w:rsid w:val="00891A4F"/>
    <w:rsid w:val="008A17CE"/>
    <w:rsid w:val="008A3F50"/>
    <w:rsid w:val="008B1DEB"/>
    <w:rsid w:val="008D1EB1"/>
    <w:rsid w:val="008E00E9"/>
    <w:rsid w:val="008F30FC"/>
    <w:rsid w:val="00903E5F"/>
    <w:rsid w:val="00920BD2"/>
    <w:rsid w:val="009233DB"/>
    <w:rsid w:val="00932808"/>
    <w:rsid w:val="00935497"/>
    <w:rsid w:val="009B4B1D"/>
    <w:rsid w:val="00A01D26"/>
    <w:rsid w:val="00A0760B"/>
    <w:rsid w:val="00A13FF4"/>
    <w:rsid w:val="00A20444"/>
    <w:rsid w:val="00A20554"/>
    <w:rsid w:val="00A21262"/>
    <w:rsid w:val="00A457DF"/>
    <w:rsid w:val="00A65BEF"/>
    <w:rsid w:val="00A667FE"/>
    <w:rsid w:val="00A679C6"/>
    <w:rsid w:val="00AA43FD"/>
    <w:rsid w:val="00AA5FAC"/>
    <w:rsid w:val="00AB265E"/>
    <w:rsid w:val="00AC1EEA"/>
    <w:rsid w:val="00AC6918"/>
    <w:rsid w:val="00AD6C03"/>
    <w:rsid w:val="00AE188B"/>
    <w:rsid w:val="00AE65D8"/>
    <w:rsid w:val="00B17C77"/>
    <w:rsid w:val="00B246A2"/>
    <w:rsid w:val="00B56BDF"/>
    <w:rsid w:val="00BA0FB7"/>
    <w:rsid w:val="00BB622C"/>
    <w:rsid w:val="00BC2D42"/>
    <w:rsid w:val="00BD16AB"/>
    <w:rsid w:val="00BD5AE6"/>
    <w:rsid w:val="00C02F0B"/>
    <w:rsid w:val="00C14D79"/>
    <w:rsid w:val="00C35D80"/>
    <w:rsid w:val="00C52C39"/>
    <w:rsid w:val="00C62EAB"/>
    <w:rsid w:val="00C81E93"/>
    <w:rsid w:val="00C82C0D"/>
    <w:rsid w:val="00CA3565"/>
    <w:rsid w:val="00CA5569"/>
    <w:rsid w:val="00CA5E8F"/>
    <w:rsid w:val="00CB1850"/>
    <w:rsid w:val="00CD1D27"/>
    <w:rsid w:val="00CF5868"/>
    <w:rsid w:val="00D016D6"/>
    <w:rsid w:val="00D11794"/>
    <w:rsid w:val="00D164B8"/>
    <w:rsid w:val="00D24C15"/>
    <w:rsid w:val="00D44473"/>
    <w:rsid w:val="00D4697F"/>
    <w:rsid w:val="00D51B4F"/>
    <w:rsid w:val="00DB43BB"/>
    <w:rsid w:val="00DB7C4A"/>
    <w:rsid w:val="00DD3B78"/>
    <w:rsid w:val="00DE14E9"/>
    <w:rsid w:val="00DE546E"/>
    <w:rsid w:val="00DF339D"/>
    <w:rsid w:val="00E131D0"/>
    <w:rsid w:val="00E56230"/>
    <w:rsid w:val="00E6333F"/>
    <w:rsid w:val="00E64285"/>
    <w:rsid w:val="00F007E4"/>
    <w:rsid w:val="00F278D7"/>
    <w:rsid w:val="00F27A5E"/>
    <w:rsid w:val="00F77310"/>
    <w:rsid w:val="00F8312D"/>
    <w:rsid w:val="00F85F69"/>
    <w:rsid w:val="00F92D31"/>
    <w:rsid w:val="00FB506C"/>
    <w:rsid w:val="00FC7103"/>
    <w:rsid w:val="00FE3901"/>
    <w:rsid w:val="00FE70EB"/>
    <w:rsid w:val="00FF14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1454F"/>
    <w:pPr>
      <w:widowControl w:val="0"/>
    </w:pPr>
    <w:rPr>
      <w:rFonts w:ascii="TheSerifCorrespondence" w:hAnsi="TheSerifCorrespondence"/>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671CBE"/>
    <w:rPr>
      <w:sz w:val="16"/>
      <w:szCs w:val="16"/>
    </w:rPr>
  </w:style>
  <w:style w:type="paragraph" w:styleId="Testocommento">
    <w:name w:val="annotation text"/>
    <w:basedOn w:val="Normale"/>
    <w:semiHidden/>
    <w:rsid w:val="00671CBE"/>
  </w:style>
  <w:style w:type="paragraph" w:styleId="Soggettocommento">
    <w:name w:val="annotation subject"/>
    <w:basedOn w:val="Testocommento"/>
    <w:next w:val="Testocommento"/>
    <w:semiHidden/>
    <w:rsid w:val="00671CBE"/>
    <w:rPr>
      <w:b/>
      <w:bCs/>
    </w:rPr>
  </w:style>
  <w:style w:type="paragraph" w:styleId="Testofumetto">
    <w:name w:val="Balloon Text"/>
    <w:basedOn w:val="Normale"/>
    <w:semiHidden/>
    <w:rsid w:val="00671CBE"/>
    <w:rPr>
      <w:rFonts w:ascii="Tahoma" w:hAnsi="Tahoma" w:cs="Tahoma"/>
      <w:sz w:val="16"/>
      <w:szCs w:val="16"/>
    </w:rPr>
  </w:style>
  <w:style w:type="character" w:styleId="Collegamentoipertestuale">
    <w:name w:val="Hyperlink"/>
    <w:rsid w:val="00840DFC"/>
    <w:rPr>
      <w:color w:val="0000FF"/>
      <w:u w:val="single"/>
    </w:rPr>
  </w:style>
  <w:style w:type="paragraph" w:styleId="Pidipagina">
    <w:name w:val="footer"/>
    <w:basedOn w:val="Normale"/>
    <w:rsid w:val="0050665C"/>
    <w:pPr>
      <w:tabs>
        <w:tab w:val="center" w:pos="4320"/>
        <w:tab w:val="right" w:pos="8640"/>
      </w:tabs>
    </w:pPr>
  </w:style>
  <w:style w:type="character" w:styleId="Numeropagina">
    <w:name w:val="page number"/>
    <w:basedOn w:val="Carpredefinitoparagrafo"/>
    <w:rsid w:val="0050665C"/>
  </w:style>
  <w:style w:type="character" w:styleId="Collegamentovisitato">
    <w:name w:val="FollowedHyperlink"/>
    <w:rsid w:val="001C5888"/>
    <w:rPr>
      <w:color w:val="606420"/>
      <w:u w:val="single"/>
    </w:rPr>
  </w:style>
  <w:style w:type="paragraph" w:styleId="Intestazione">
    <w:name w:val="header"/>
    <w:basedOn w:val="Normale"/>
    <w:link w:val="IntestazioneCarattere"/>
    <w:rsid w:val="000B273A"/>
    <w:pPr>
      <w:tabs>
        <w:tab w:val="center" w:pos="4680"/>
        <w:tab w:val="right" w:pos="9360"/>
      </w:tabs>
    </w:pPr>
  </w:style>
  <w:style w:type="character" w:customStyle="1" w:styleId="IntestazioneCarattere">
    <w:name w:val="Intestazione Carattere"/>
    <w:link w:val="Intestazione"/>
    <w:rsid w:val="000B273A"/>
    <w:rPr>
      <w:rFonts w:ascii="TheSerifCorrespondence" w:hAnsi="TheSerifCorrespondence"/>
      <w:snapToGrid w:val="0"/>
      <w:lang w:val="nl-NL" w:eastAsia="nl-NL"/>
    </w:rPr>
  </w:style>
  <w:style w:type="paragraph" w:styleId="Paragrafoelenco">
    <w:name w:val="List Paragraph"/>
    <w:basedOn w:val="Normale"/>
    <w:uiPriority w:val="34"/>
    <w:qFormat/>
    <w:rsid w:val="004E3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1454F"/>
    <w:pPr>
      <w:widowControl w:val="0"/>
    </w:pPr>
    <w:rPr>
      <w:rFonts w:ascii="TheSerifCorrespondence" w:hAnsi="TheSerifCorrespondence"/>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671CBE"/>
    <w:rPr>
      <w:sz w:val="16"/>
      <w:szCs w:val="16"/>
    </w:rPr>
  </w:style>
  <w:style w:type="paragraph" w:styleId="Testocommento">
    <w:name w:val="annotation text"/>
    <w:basedOn w:val="Normale"/>
    <w:semiHidden/>
    <w:rsid w:val="00671CBE"/>
  </w:style>
  <w:style w:type="paragraph" w:styleId="Soggettocommento">
    <w:name w:val="annotation subject"/>
    <w:basedOn w:val="Testocommento"/>
    <w:next w:val="Testocommento"/>
    <w:semiHidden/>
    <w:rsid w:val="00671CBE"/>
    <w:rPr>
      <w:b/>
      <w:bCs/>
    </w:rPr>
  </w:style>
  <w:style w:type="paragraph" w:styleId="Testofumetto">
    <w:name w:val="Balloon Text"/>
    <w:basedOn w:val="Normale"/>
    <w:semiHidden/>
    <w:rsid w:val="00671CBE"/>
    <w:rPr>
      <w:rFonts w:ascii="Tahoma" w:hAnsi="Tahoma" w:cs="Tahoma"/>
      <w:sz w:val="16"/>
      <w:szCs w:val="16"/>
    </w:rPr>
  </w:style>
  <w:style w:type="character" w:styleId="Collegamentoipertestuale">
    <w:name w:val="Hyperlink"/>
    <w:rsid w:val="00840DFC"/>
    <w:rPr>
      <w:color w:val="0000FF"/>
      <w:u w:val="single"/>
    </w:rPr>
  </w:style>
  <w:style w:type="paragraph" w:styleId="Pidipagina">
    <w:name w:val="footer"/>
    <w:basedOn w:val="Normale"/>
    <w:rsid w:val="0050665C"/>
    <w:pPr>
      <w:tabs>
        <w:tab w:val="center" w:pos="4320"/>
        <w:tab w:val="right" w:pos="8640"/>
      </w:tabs>
    </w:pPr>
  </w:style>
  <w:style w:type="character" w:styleId="Numeropagina">
    <w:name w:val="page number"/>
    <w:basedOn w:val="Carpredefinitoparagrafo"/>
    <w:rsid w:val="0050665C"/>
  </w:style>
  <w:style w:type="character" w:styleId="Collegamentovisitato">
    <w:name w:val="FollowedHyperlink"/>
    <w:rsid w:val="001C5888"/>
    <w:rPr>
      <w:color w:val="606420"/>
      <w:u w:val="single"/>
    </w:rPr>
  </w:style>
  <w:style w:type="paragraph" w:styleId="Intestazione">
    <w:name w:val="header"/>
    <w:basedOn w:val="Normale"/>
    <w:link w:val="IntestazioneCarattere"/>
    <w:rsid w:val="000B273A"/>
    <w:pPr>
      <w:tabs>
        <w:tab w:val="center" w:pos="4680"/>
        <w:tab w:val="right" w:pos="9360"/>
      </w:tabs>
    </w:pPr>
  </w:style>
  <w:style w:type="character" w:customStyle="1" w:styleId="IntestazioneCarattere">
    <w:name w:val="Intestazione Carattere"/>
    <w:link w:val="Intestazione"/>
    <w:rsid w:val="000B273A"/>
    <w:rPr>
      <w:rFonts w:ascii="TheSerifCorrespondence" w:hAnsi="TheSerifCorrespondence"/>
      <w:snapToGrid w:val="0"/>
      <w:lang w:val="nl-NL" w:eastAsia="nl-NL"/>
    </w:rPr>
  </w:style>
  <w:style w:type="paragraph" w:styleId="Paragrafoelenco">
    <w:name w:val="List Paragraph"/>
    <w:basedOn w:val="Normale"/>
    <w:uiPriority w:val="34"/>
    <w:qFormat/>
    <w:rsid w:val="004E3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19028">
      <w:bodyDiv w:val="1"/>
      <w:marLeft w:val="0"/>
      <w:marRight w:val="0"/>
      <w:marTop w:val="0"/>
      <w:marBottom w:val="0"/>
      <w:divBdr>
        <w:top w:val="none" w:sz="0" w:space="0" w:color="auto"/>
        <w:left w:val="none" w:sz="0" w:space="0" w:color="auto"/>
        <w:bottom w:val="none" w:sz="0" w:space="0" w:color="auto"/>
        <w:right w:val="none" w:sz="0" w:space="0" w:color="auto"/>
      </w:divBdr>
    </w:div>
    <w:div w:id="1111391960">
      <w:bodyDiv w:val="1"/>
      <w:marLeft w:val="0"/>
      <w:marRight w:val="0"/>
      <w:marTop w:val="0"/>
      <w:marBottom w:val="0"/>
      <w:divBdr>
        <w:top w:val="none" w:sz="0" w:space="0" w:color="auto"/>
        <w:left w:val="none" w:sz="0" w:space="0" w:color="auto"/>
        <w:bottom w:val="none" w:sz="0" w:space="0" w:color="auto"/>
        <w:right w:val="none" w:sz="0" w:space="0" w:color="auto"/>
      </w:divBdr>
    </w:div>
    <w:div w:id="12886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1346</Characters>
  <Application>Microsoft Office Word</Application>
  <DocSecurity>4</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t:lpstr>
      <vt:lpstr>•</vt:lpstr>
    </vt:vector>
  </TitlesOfParts>
  <Company>Universiteit Maastricht</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AthenaDesktop</dc:creator>
  <cp:lastModifiedBy>Windows User</cp:lastModifiedBy>
  <cp:revision>2</cp:revision>
  <cp:lastPrinted>2017-04-05T09:37:00Z</cp:lastPrinted>
  <dcterms:created xsi:type="dcterms:W3CDTF">2017-10-12T14:45:00Z</dcterms:created>
  <dcterms:modified xsi:type="dcterms:W3CDTF">2017-10-12T14:45:00Z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